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sz w:val="44"/>
          <w:szCs w:val="44"/>
        </w:rPr>
      </w:pPr>
      <w:r>
        <w:rPr>
          <w:rFonts w:hint="eastAsia" w:ascii="方正小标宋简体" w:hAnsi="方正小标宋简体" w:eastAsia="方正小标宋简体"/>
          <w:sz w:val="44"/>
          <w:szCs w:val="44"/>
        </w:rPr>
        <w:t>新闻</w:t>
      </w:r>
      <w:r>
        <w:rPr>
          <w:rFonts w:ascii="方正小标宋简体" w:hAnsi="方正小标宋简体" w:eastAsia="方正小标宋简体"/>
          <w:sz w:val="44"/>
          <w:szCs w:val="44"/>
        </w:rPr>
        <w:t>出版</w:t>
      </w:r>
      <w:r>
        <w:rPr>
          <w:rFonts w:hint="eastAsia" w:ascii="方正小标宋简体" w:hAnsi="方正小标宋简体" w:eastAsia="方正小标宋简体"/>
          <w:sz w:val="44"/>
          <w:szCs w:val="44"/>
        </w:rPr>
        <w:t>行业标准</w:t>
      </w:r>
    </w:p>
    <w:p>
      <w:pPr>
        <w:jc w:val="center"/>
        <w:rPr>
          <w:rFonts w:ascii="方正小标宋简体" w:hAnsi="方正小标宋简体" w:eastAsia="方正小标宋简体"/>
          <w:sz w:val="44"/>
          <w:szCs w:val="44"/>
        </w:rPr>
      </w:pPr>
      <w:r>
        <w:rPr>
          <w:rFonts w:hint="eastAsia" w:ascii="方正小标宋简体" w:hAnsi="方正小标宋简体" w:eastAsia="方正小标宋简体"/>
          <w:sz w:val="44"/>
          <w:szCs w:val="44"/>
        </w:rPr>
        <w:t>《学术出版规范 使用生成式人工智能的标注与声明》（征求意见稿）</w:t>
      </w:r>
    </w:p>
    <w:p>
      <w:pPr>
        <w:jc w:val="center"/>
        <w:rPr>
          <w:rFonts w:ascii="方正小标宋简体" w:hAnsi="方正小标宋简体" w:eastAsia="方正小标宋简体"/>
          <w:sz w:val="44"/>
          <w:szCs w:val="44"/>
        </w:rPr>
      </w:pPr>
      <w:r>
        <w:rPr>
          <w:rFonts w:hint="eastAsia" w:ascii="方正小标宋简体" w:hAnsi="方正小标宋简体" w:eastAsia="方正小标宋简体"/>
          <w:sz w:val="44"/>
          <w:szCs w:val="44"/>
        </w:rPr>
        <w:t>标准编制说明</w:t>
      </w:r>
    </w:p>
    <w:p/>
    <w:p>
      <w:pPr>
        <w:pStyle w:val="4"/>
        <w:numPr>
          <w:ilvl w:val="0"/>
          <w:numId w:val="1"/>
        </w:numPr>
        <w:spacing w:line="360" w:lineRule="auto"/>
        <w:outlineLvl w:val="0"/>
        <w:rPr>
          <w:rFonts w:asciiTheme="minorEastAsia" w:hAnsiTheme="minorEastAsia" w:eastAsiaTheme="minorEastAsia" w:cstheme="minorEastAsia"/>
          <w:b/>
        </w:rPr>
      </w:pPr>
      <w:r>
        <w:rPr>
          <w:rFonts w:hint="eastAsia" w:asciiTheme="minorEastAsia" w:hAnsiTheme="minorEastAsia" w:eastAsiaTheme="minorEastAsia" w:cstheme="minorEastAsia"/>
          <w:b/>
        </w:rPr>
        <w:t>工作简况</w:t>
      </w:r>
    </w:p>
    <w:p>
      <w:pPr>
        <w:pStyle w:val="4"/>
        <w:numPr>
          <w:ilvl w:val="0"/>
          <w:numId w:val="2"/>
        </w:numPr>
        <w:spacing w:line="360" w:lineRule="auto"/>
        <w:outlineLvl w:val="1"/>
        <w:rPr>
          <w:rFonts w:asciiTheme="minorEastAsia" w:hAnsiTheme="minorEastAsia" w:eastAsiaTheme="minorEastAsia" w:cstheme="minorEastAsia"/>
        </w:rPr>
      </w:pPr>
      <w:r>
        <w:rPr>
          <w:rFonts w:hint="eastAsia" w:asciiTheme="minorEastAsia" w:hAnsiTheme="minorEastAsia" w:eastAsiaTheme="minorEastAsia" w:cstheme="minorEastAsia"/>
        </w:rPr>
        <w:t>任务来源</w:t>
      </w:r>
    </w:p>
    <w:p>
      <w:pPr>
        <w:spacing w:line="360" w:lineRule="auto"/>
        <w:ind w:firstLine="640"/>
        <w:jc w:val="left"/>
        <w:rPr>
          <w:rFonts w:ascii="宋体" w:hAnsi="宋体" w:cs="宋体"/>
          <w:sz w:val="24"/>
        </w:rPr>
      </w:pPr>
      <w:r>
        <w:rPr>
          <w:rFonts w:ascii="宋体" w:hAnsi="宋体" w:cs="宋体"/>
          <w:sz w:val="24"/>
        </w:rPr>
        <w:t>2022年</w:t>
      </w:r>
      <w:r>
        <w:rPr>
          <w:rFonts w:hint="eastAsia" w:ascii="宋体" w:hAnsi="宋体" w:cs="宋体"/>
          <w:sz w:val="24"/>
          <w:lang w:val="en-US" w:eastAsia="zh-CN"/>
        </w:rPr>
        <w:t>以来，</w:t>
      </w:r>
      <w:r>
        <w:rPr>
          <w:rFonts w:ascii="宋体" w:hAnsi="宋体" w:cs="宋体"/>
          <w:sz w:val="24"/>
        </w:rPr>
        <w:t>生成式人工智能技术呈现出迅猛的发展态</w:t>
      </w:r>
      <w:r>
        <w:rPr>
          <w:rFonts w:hint="eastAsia" w:ascii="宋体" w:hAnsi="宋体" w:cs="宋体"/>
          <w:sz w:val="24"/>
          <w:lang w:val="en-US" w:eastAsia="zh-CN"/>
        </w:rPr>
        <w:t>势</w:t>
      </w:r>
      <w:r>
        <w:rPr>
          <w:rFonts w:hint="eastAsia" w:ascii="宋体" w:hAnsi="宋体" w:cs="宋体"/>
          <w:sz w:val="24"/>
          <w:lang w:eastAsia="zh-CN"/>
        </w:rPr>
        <w:t>，</w:t>
      </w:r>
      <w:r>
        <w:rPr>
          <w:rFonts w:hint="eastAsia" w:ascii="宋体" w:hAnsi="宋体" w:cs="宋体"/>
          <w:sz w:val="24"/>
          <w:lang w:val="en-US" w:eastAsia="zh-CN"/>
        </w:rPr>
        <w:t>引发了多领域</w:t>
      </w:r>
      <w:r>
        <w:rPr>
          <w:rFonts w:ascii="宋体" w:hAnsi="宋体" w:cs="宋体"/>
          <w:sz w:val="24"/>
        </w:rPr>
        <w:t>的深刻变革，对社会产生</w:t>
      </w:r>
      <w:r>
        <w:rPr>
          <w:rFonts w:hint="eastAsia" w:ascii="宋体" w:hAnsi="宋体" w:cs="宋体"/>
          <w:sz w:val="24"/>
          <w:lang w:val="en-US" w:eastAsia="zh-CN"/>
        </w:rPr>
        <w:t>的</w:t>
      </w:r>
      <w:r>
        <w:rPr>
          <w:rFonts w:ascii="宋体" w:hAnsi="宋体" w:cs="宋体"/>
          <w:sz w:val="24"/>
        </w:rPr>
        <w:t>积极影响</w:t>
      </w:r>
      <w:r>
        <w:rPr>
          <w:rFonts w:hint="eastAsia" w:ascii="宋体" w:hAnsi="宋体" w:cs="宋体"/>
          <w:sz w:val="24"/>
          <w:lang w:val="en-US" w:eastAsia="zh-CN"/>
        </w:rPr>
        <w:t>显著</w:t>
      </w:r>
      <w:r>
        <w:rPr>
          <w:rFonts w:ascii="宋体" w:hAnsi="宋体" w:cs="宋体"/>
          <w:sz w:val="24"/>
        </w:rPr>
        <w:t>。在科学研究领域，生成式人工智能在文献检索、自动化文献综述、数据分析与模型构建、论文撰写与润色等方面的应用效果显著，不仅显著提升了科研效率，还加速了跨学科研究和创新的步伐。生成式人工智能的应用已成为不可逆转的趋势。对于学术出版领域，生成式人工智能同样带来了机遇与挑战。</w:t>
      </w:r>
    </w:p>
    <w:p>
      <w:pPr>
        <w:spacing w:line="360" w:lineRule="auto"/>
        <w:ind w:firstLine="0"/>
        <w:jc w:val="left"/>
        <w:rPr>
          <w:rFonts w:ascii="宋体" w:hAnsi="宋体" w:cs="宋体"/>
          <w:sz w:val="24"/>
        </w:rPr>
      </w:pPr>
      <w:r>
        <w:rPr>
          <w:rFonts w:hint="eastAsia" w:ascii="宋体" w:hAnsi="宋体" w:cs="宋体"/>
          <w:sz w:val="24"/>
        </w:rPr>
        <w:t xml:space="preserve">    </w:t>
      </w:r>
      <w:r>
        <w:rPr>
          <w:rFonts w:ascii="宋体" w:hAnsi="宋体" w:cs="宋体"/>
          <w:sz w:val="24"/>
        </w:rPr>
        <w:t>鉴于生成式人工智能的技术原理、语料库质量等多种因素，不同的工具平台在应用时均存在一定的风险，包括输入内容的安全性、输出结果的可靠性风险、学术伦理风险、潜在的法律风险、幻觉风险以及隐私泄露风险等。生成式人工智能的广泛使用也降低了论文代写和学术造假的成本。因此，确保研究成果的原创性和高质量成为科研领域面临的一大挑战。过度依赖生成式人工智能可能导致研究成果缺乏深度和独特性，甚至可能引发抄袭、篡改数据等学术不端行为。科研人员和学术出版界必须紧密合作，探索应对策略，预防潜在的学术违规风险，并适应出版环境的变化。</w:t>
      </w:r>
    </w:p>
    <w:p>
      <w:pPr>
        <w:spacing w:line="360" w:lineRule="auto"/>
        <w:ind w:firstLine="640"/>
        <w:jc w:val="left"/>
        <w:rPr>
          <w:rFonts w:ascii="宋体" w:hAnsi="宋体" w:cs="宋体"/>
          <w:sz w:val="24"/>
        </w:rPr>
      </w:pPr>
      <w:r>
        <w:rPr>
          <w:rFonts w:ascii="宋体" w:hAnsi="宋体" w:cs="宋体"/>
          <w:sz w:val="24"/>
        </w:rPr>
        <w:t>科研人员应树立正确的观念，合理利用生成式人工智能，将其作为辅助工具，加强原创性控制，提升学术素养和批判性思维能力。在享受技术带来的便利的同时，应坚守学术诚信的底线，确保研究成果的质量。</w:t>
      </w:r>
    </w:p>
    <w:p>
      <w:pPr>
        <w:spacing w:line="360" w:lineRule="auto"/>
        <w:ind w:firstLine="640"/>
        <w:jc w:val="left"/>
        <w:rPr>
          <w:rFonts w:ascii="宋体" w:hAnsi="宋体" w:cs="宋体"/>
          <w:sz w:val="24"/>
        </w:rPr>
      </w:pPr>
      <w:r>
        <w:rPr>
          <w:rFonts w:ascii="宋体" w:hAnsi="宋体" w:cs="宋体"/>
          <w:sz w:val="24"/>
        </w:rPr>
        <w:t>出版机构应加强监管和引导，完善成果审核和审稿制度，</w:t>
      </w:r>
      <w:r>
        <w:rPr>
          <w:rFonts w:hint="eastAsia" w:ascii="宋体" w:hAnsi="宋体" w:cs="宋体"/>
          <w:sz w:val="24"/>
        </w:rPr>
        <w:t>探索</w:t>
      </w:r>
      <w:r>
        <w:rPr>
          <w:rFonts w:ascii="宋体" w:hAnsi="宋体" w:cs="宋体"/>
          <w:sz w:val="24"/>
        </w:rPr>
        <w:t>智能</w:t>
      </w:r>
      <w:r>
        <w:rPr>
          <w:rFonts w:hint="eastAsia" w:ascii="宋体" w:hAnsi="宋体" w:cs="宋体"/>
          <w:sz w:val="24"/>
        </w:rPr>
        <w:t>核查工具</w:t>
      </w:r>
      <w:r>
        <w:rPr>
          <w:rFonts w:ascii="宋体" w:hAnsi="宋体" w:cs="宋体"/>
          <w:sz w:val="24"/>
        </w:rPr>
        <w:t>体系，严格把关学术质量。从行业层面，需要建立生成式人工智能应用的“标准规范”，通过正向引导和规范使用行为，构建“预防-监测-处置”的管理机制，为学术研究和出版领域营造一个清正廉洁的良好环境，确保学术成果的真实性和可靠性。这不仅是“迫切需要”，更是一种“责任担当”。</w:t>
      </w:r>
    </w:p>
    <w:p>
      <w:pPr>
        <w:spacing w:line="360" w:lineRule="auto"/>
        <w:ind w:firstLine="640"/>
        <w:jc w:val="left"/>
        <w:rPr>
          <w:rFonts w:asciiTheme="minorEastAsia" w:hAnsiTheme="minorEastAsia" w:eastAsiaTheme="minorEastAsia" w:cstheme="minorEastAsia"/>
          <w:sz w:val="24"/>
        </w:rPr>
      </w:pPr>
      <w:r>
        <w:rPr>
          <w:rFonts w:ascii="宋体" w:hAnsi="宋体" w:cs="宋体"/>
          <w:sz w:val="24"/>
        </w:rPr>
        <w:t>因此，2024年3月，同方知网(北京)技术有限公司</w:t>
      </w:r>
      <w:r>
        <w:rPr>
          <w:rFonts w:hint="eastAsia" w:ascii="宋体" w:hAnsi="宋体" w:cs="宋体"/>
          <w:sz w:val="24"/>
        </w:rPr>
        <w:t>、</w:t>
      </w:r>
      <w:r>
        <w:rPr>
          <w:rFonts w:ascii="宋体" w:hAnsi="宋体" w:cs="宋体"/>
          <w:sz w:val="24"/>
        </w:rPr>
        <w:t>中国新闻出版研究院</w:t>
      </w:r>
      <w:r>
        <w:rPr>
          <w:rFonts w:hint="eastAsia" w:ascii="宋体" w:hAnsi="宋体" w:cs="宋体"/>
          <w:sz w:val="24"/>
        </w:rPr>
        <w:t>与</w:t>
      </w:r>
      <w:r>
        <w:rPr>
          <w:rFonts w:ascii="宋体" w:hAnsi="宋体" w:cs="宋体"/>
          <w:sz w:val="24"/>
        </w:rPr>
        <w:t>山东大学联合申请开展行业标准建设，旨在为学术出版中使用生成式人工智能提供明确、规范、统一的标注与声明，强化“用者负责”原则，实现AI使用全过程的留痕、可追溯、权责明确，引导科研人员、科研与教育机构、学术出版方合规、负责任地使用AI技术，从源头维护学术成果的真实性和原创性。</w:t>
      </w:r>
    </w:p>
    <w:p>
      <w:pPr>
        <w:spacing w:line="360" w:lineRule="auto"/>
        <w:ind w:firstLine="64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2024年12月24日，国家新闻出版署发布《国家新闻出版署关于发布《英文图书编辑出版规则》等10项行业标准立项计划的通知》（国新出发函〔2024〕189号），《学术出版规范 使用生成式人工智能的标注与声明》为该批新立项的行业标准之一，计划编号为CY202411。本标准归口全国新闻出版标准化技术委员会（SAC/TC 527）。</w:t>
      </w:r>
    </w:p>
    <w:p>
      <w:pPr>
        <w:numPr>
          <w:ilvl w:val="0"/>
          <w:numId w:val="3"/>
        </w:numPr>
        <w:adjustRightInd w:val="0"/>
        <w:snapToGrid w:val="0"/>
        <w:spacing w:line="360" w:lineRule="auto"/>
        <w:outlineLvl w:val="1"/>
        <w:rPr>
          <w:rFonts w:ascii="宋体" w:hAnsi="宋体" w:cs="宋体"/>
          <w:sz w:val="24"/>
        </w:rPr>
      </w:pPr>
      <w:r>
        <w:rPr>
          <w:rFonts w:hint="eastAsia" w:ascii="宋体" w:hAnsi="宋体" w:cs="宋体"/>
          <w:sz w:val="24"/>
        </w:rPr>
        <w:t>协作单位</w:t>
      </w:r>
    </w:p>
    <w:tbl>
      <w:tblPr>
        <w:tblStyle w:val="13"/>
        <w:tblW w:w="8393" w:type="dxa"/>
        <w:jc w:val="center"/>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32"/>
        <w:gridCol w:w="2698"/>
        <w:gridCol w:w="4863"/>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32" w:type="dxa"/>
            <w:vAlign w:val="center"/>
          </w:tcPr>
          <w:p>
            <w:pPr>
              <w:pStyle w:val="4"/>
              <w:spacing w:line="240" w:lineRule="auto"/>
              <w:jc w:val="center"/>
              <w:rPr>
                <w:rFonts w:asciiTheme="minorEastAsia" w:hAnsiTheme="minorEastAsia" w:eastAsiaTheme="minorEastAsia" w:cstheme="minorEastAsia"/>
              </w:rPr>
            </w:pPr>
            <w:r>
              <w:rPr>
                <w:rFonts w:hint="eastAsia" w:asciiTheme="minorEastAsia" w:hAnsiTheme="minorEastAsia" w:eastAsiaTheme="minorEastAsia" w:cstheme="minorEastAsia"/>
              </w:rPr>
              <w:t>序号</w:t>
            </w:r>
          </w:p>
        </w:tc>
        <w:tc>
          <w:tcPr>
            <w:tcW w:w="2698" w:type="dxa"/>
            <w:vAlign w:val="center"/>
          </w:tcPr>
          <w:p>
            <w:pPr>
              <w:pStyle w:val="4"/>
              <w:spacing w:line="240" w:lineRule="auto"/>
              <w:jc w:val="center"/>
              <w:rPr>
                <w:rFonts w:asciiTheme="minorEastAsia" w:hAnsiTheme="minorEastAsia" w:eastAsiaTheme="minorEastAsia" w:cstheme="minorEastAsia"/>
              </w:rPr>
            </w:pPr>
            <w:r>
              <w:rPr>
                <w:rFonts w:hint="eastAsia" w:asciiTheme="minorEastAsia" w:hAnsiTheme="minorEastAsia" w:eastAsiaTheme="minorEastAsia" w:cstheme="minorEastAsia"/>
              </w:rPr>
              <w:t>起草组</w:t>
            </w:r>
          </w:p>
        </w:tc>
        <w:tc>
          <w:tcPr>
            <w:tcW w:w="4863" w:type="dxa"/>
            <w:vAlign w:val="center"/>
          </w:tcPr>
          <w:p>
            <w:pPr>
              <w:pStyle w:val="4"/>
              <w:spacing w:line="240" w:lineRule="auto"/>
              <w:jc w:val="center"/>
              <w:rPr>
                <w:rFonts w:asciiTheme="minorEastAsia" w:hAnsiTheme="minorEastAsia" w:eastAsiaTheme="minorEastAsia" w:cstheme="minorEastAsia"/>
              </w:rPr>
            </w:pPr>
            <w:r>
              <w:rPr>
                <w:rFonts w:hint="eastAsia" w:asciiTheme="minorEastAsia" w:hAnsiTheme="minorEastAsia" w:eastAsiaTheme="minorEastAsia" w:cstheme="minorEastAsia"/>
              </w:rPr>
              <w:t>单位</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32" w:type="dxa"/>
            <w:vAlign w:val="center"/>
          </w:tcPr>
          <w:p>
            <w:pPr>
              <w:widowControl/>
              <w:jc w:val="center"/>
              <w:textAlignment w:val="center"/>
              <w:rPr>
                <w:rFonts w:asciiTheme="minorEastAsia" w:hAnsiTheme="minorEastAsia" w:eastAsiaTheme="minorEastAsia" w:cstheme="minorEastAsia"/>
                <w:sz w:val="24"/>
              </w:rPr>
            </w:pPr>
            <w:r>
              <w:rPr>
                <w:rFonts w:hint="eastAsia" w:ascii="宋体" w:hAnsi="宋体" w:cs="宋体"/>
                <w:color w:val="000000"/>
                <w:kern w:val="0"/>
                <w:sz w:val="24"/>
                <w:lang w:bidi="ar"/>
              </w:rPr>
              <w:t>1</w:t>
            </w:r>
          </w:p>
        </w:tc>
        <w:tc>
          <w:tcPr>
            <w:tcW w:w="2698" w:type="dxa"/>
            <w:vAlign w:val="center"/>
          </w:tcPr>
          <w:p>
            <w:pPr>
              <w:pStyle w:val="4"/>
              <w:spacing w:line="240" w:lineRule="auto"/>
              <w:jc w:val="center"/>
              <w:rPr>
                <w:rFonts w:asciiTheme="minorEastAsia" w:hAnsiTheme="minorEastAsia" w:eastAsiaTheme="minorEastAsia" w:cstheme="minorEastAsia"/>
              </w:rPr>
            </w:pPr>
            <w:r>
              <w:rPr>
                <w:rFonts w:hint="eastAsia" w:asciiTheme="minorEastAsia" w:hAnsiTheme="minorEastAsia" w:eastAsiaTheme="minorEastAsia" w:cstheme="minorEastAsia"/>
              </w:rPr>
              <w:t>组长单位</w:t>
            </w:r>
          </w:p>
        </w:tc>
        <w:tc>
          <w:tcPr>
            <w:tcW w:w="4863" w:type="dxa"/>
            <w:vAlign w:val="center"/>
          </w:tcPr>
          <w:p>
            <w:pPr>
              <w:pStyle w:val="4"/>
              <w:spacing w:line="240" w:lineRule="auto"/>
              <w:jc w:val="center"/>
              <w:rPr>
                <w:rFonts w:asciiTheme="minorEastAsia" w:hAnsiTheme="minorEastAsia" w:eastAsiaTheme="minorEastAsia" w:cstheme="minorEastAsia"/>
              </w:rPr>
            </w:pPr>
            <w:r>
              <w:rPr>
                <w:rFonts w:hint="eastAsia" w:asciiTheme="minorEastAsia" w:hAnsiTheme="minorEastAsia" w:eastAsiaTheme="minorEastAsia" w:cstheme="minorEastAsia"/>
              </w:rPr>
              <w:t>同方知网(北京)技术有限公司</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32" w:type="dxa"/>
            <w:vAlign w:val="center"/>
          </w:tcPr>
          <w:p>
            <w:pPr>
              <w:widowControl/>
              <w:jc w:val="center"/>
              <w:textAlignment w:val="center"/>
              <w:rPr>
                <w:rFonts w:asciiTheme="minorEastAsia" w:hAnsiTheme="minorEastAsia" w:eastAsiaTheme="minorEastAsia" w:cstheme="minorEastAsia"/>
                <w:sz w:val="24"/>
              </w:rPr>
            </w:pPr>
            <w:r>
              <w:rPr>
                <w:rFonts w:hint="eastAsia" w:ascii="宋体" w:hAnsi="宋体" w:cs="宋体"/>
                <w:color w:val="000000"/>
                <w:kern w:val="0"/>
                <w:sz w:val="24"/>
                <w:lang w:bidi="ar"/>
              </w:rPr>
              <w:t>2</w:t>
            </w:r>
          </w:p>
        </w:tc>
        <w:tc>
          <w:tcPr>
            <w:tcW w:w="2698" w:type="dxa"/>
            <w:vMerge w:val="restart"/>
            <w:vAlign w:val="center"/>
          </w:tcPr>
          <w:p>
            <w:pPr>
              <w:pStyle w:val="4"/>
              <w:spacing w:line="240" w:lineRule="auto"/>
              <w:jc w:val="center"/>
              <w:rPr>
                <w:rFonts w:asciiTheme="minorEastAsia" w:hAnsiTheme="minorEastAsia" w:eastAsiaTheme="minorEastAsia" w:cstheme="minorEastAsia"/>
              </w:rPr>
            </w:pPr>
            <w:r>
              <w:rPr>
                <w:rFonts w:hint="eastAsia" w:asciiTheme="minorEastAsia" w:hAnsiTheme="minorEastAsia" w:eastAsiaTheme="minorEastAsia" w:cstheme="minorEastAsia"/>
              </w:rPr>
              <w:t>副组长单位</w:t>
            </w:r>
          </w:p>
          <w:p>
            <w:pPr>
              <w:pStyle w:val="4"/>
              <w:spacing w:line="240" w:lineRule="auto"/>
              <w:jc w:val="center"/>
              <w:rPr>
                <w:rFonts w:asciiTheme="minorEastAsia" w:hAnsiTheme="minorEastAsia" w:eastAsiaTheme="minorEastAsia" w:cstheme="minorEastAsia"/>
              </w:rPr>
            </w:pPr>
            <w:r>
              <w:rPr>
                <w:rFonts w:hint="eastAsia" w:asciiTheme="minorEastAsia" w:hAnsiTheme="minorEastAsia" w:eastAsiaTheme="minorEastAsia" w:cstheme="minorEastAsia"/>
              </w:rPr>
              <w:t>（排名不分先后）</w:t>
            </w:r>
          </w:p>
          <w:p>
            <w:pPr>
              <w:pStyle w:val="4"/>
              <w:spacing w:line="240" w:lineRule="auto"/>
              <w:jc w:val="center"/>
              <w:rPr>
                <w:rFonts w:asciiTheme="minorEastAsia" w:hAnsiTheme="minorEastAsia" w:eastAsiaTheme="minorEastAsia" w:cstheme="minorEastAsia"/>
              </w:rPr>
            </w:pPr>
          </w:p>
        </w:tc>
        <w:tc>
          <w:tcPr>
            <w:tcW w:w="4863" w:type="dxa"/>
            <w:shd w:val="clear" w:color="auto" w:fill="auto"/>
            <w:vAlign w:val="center"/>
          </w:tcPr>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山东大学</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32" w:type="dxa"/>
            <w:vAlign w:val="center"/>
          </w:tcPr>
          <w:p>
            <w:pPr>
              <w:widowControl/>
              <w:jc w:val="center"/>
              <w:textAlignment w:val="center"/>
              <w:rPr>
                <w:rFonts w:asciiTheme="minorEastAsia" w:hAnsiTheme="minorEastAsia" w:eastAsiaTheme="minorEastAsia" w:cstheme="minorEastAsia"/>
                <w:sz w:val="24"/>
              </w:rPr>
            </w:pPr>
            <w:r>
              <w:rPr>
                <w:rFonts w:hint="eastAsia" w:ascii="宋体" w:hAnsi="宋体" w:cs="宋体"/>
                <w:color w:val="000000"/>
                <w:kern w:val="0"/>
                <w:sz w:val="24"/>
                <w:lang w:bidi="ar"/>
              </w:rPr>
              <w:t>3</w:t>
            </w:r>
          </w:p>
        </w:tc>
        <w:tc>
          <w:tcPr>
            <w:tcW w:w="2698" w:type="dxa"/>
            <w:vMerge w:val="continue"/>
            <w:vAlign w:val="center"/>
          </w:tcPr>
          <w:p>
            <w:pPr>
              <w:pStyle w:val="4"/>
              <w:spacing w:line="240" w:lineRule="auto"/>
              <w:jc w:val="center"/>
              <w:rPr>
                <w:rFonts w:asciiTheme="minorEastAsia" w:hAnsiTheme="minorEastAsia" w:eastAsiaTheme="minorEastAsia" w:cstheme="minorEastAsia"/>
              </w:rPr>
            </w:pPr>
          </w:p>
        </w:tc>
        <w:tc>
          <w:tcPr>
            <w:tcW w:w="4863" w:type="dxa"/>
            <w:shd w:val="clear" w:color="auto" w:fill="auto"/>
            <w:vAlign w:val="center"/>
          </w:tcPr>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北京大学出版社有限公司</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32" w:type="dxa"/>
            <w:vAlign w:val="center"/>
          </w:tcPr>
          <w:p>
            <w:pPr>
              <w:widowControl/>
              <w:jc w:val="center"/>
              <w:textAlignment w:val="center"/>
              <w:rPr>
                <w:rFonts w:asciiTheme="minorEastAsia" w:hAnsiTheme="minorEastAsia" w:eastAsiaTheme="minorEastAsia" w:cstheme="minorEastAsia"/>
                <w:sz w:val="24"/>
              </w:rPr>
            </w:pPr>
            <w:r>
              <w:rPr>
                <w:rFonts w:hint="eastAsia" w:ascii="宋体" w:hAnsi="宋体" w:cs="宋体"/>
                <w:color w:val="000000"/>
                <w:kern w:val="0"/>
                <w:sz w:val="24"/>
                <w:lang w:bidi="ar"/>
              </w:rPr>
              <w:t>4</w:t>
            </w:r>
          </w:p>
        </w:tc>
        <w:tc>
          <w:tcPr>
            <w:tcW w:w="2698" w:type="dxa"/>
            <w:vMerge w:val="continue"/>
            <w:vAlign w:val="center"/>
          </w:tcPr>
          <w:p>
            <w:pPr>
              <w:pStyle w:val="4"/>
              <w:spacing w:line="240" w:lineRule="auto"/>
              <w:jc w:val="center"/>
              <w:rPr>
                <w:rFonts w:asciiTheme="minorEastAsia" w:hAnsiTheme="minorEastAsia" w:eastAsiaTheme="minorEastAsia" w:cstheme="minorEastAsia"/>
              </w:rPr>
            </w:pPr>
          </w:p>
        </w:tc>
        <w:tc>
          <w:tcPr>
            <w:tcW w:w="4863" w:type="dxa"/>
            <w:shd w:val="clear" w:color="auto" w:fill="auto"/>
            <w:vAlign w:val="center"/>
          </w:tcPr>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北京理工大学出版社有限责任公司</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32" w:type="dxa"/>
            <w:vAlign w:val="center"/>
          </w:tcPr>
          <w:p>
            <w:pPr>
              <w:widowControl/>
              <w:jc w:val="center"/>
              <w:textAlignment w:val="center"/>
              <w:rPr>
                <w:rFonts w:asciiTheme="minorEastAsia" w:hAnsiTheme="minorEastAsia" w:eastAsiaTheme="minorEastAsia" w:cstheme="minorEastAsia"/>
                <w:sz w:val="24"/>
              </w:rPr>
            </w:pPr>
            <w:r>
              <w:rPr>
                <w:rFonts w:hint="eastAsia" w:ascii="宋体" w:hAnsi="宋体" w:cs="宋体"/>
                <w:color w:val="000000"/>
                <w:kern w:val="0"/>
                <w:sz w:val="24"/>
                <w:lang w:bidi="ar"/>
              </w:rPr>
              <w:t>5</w:t>
            </w:r>
          </w:p>
        </w:tc>
        <w:tc>
          <w:tcPr>
            <w:tcW w:w="2698" w:type="dxa"/>
            <w:vMerge w:val="continue"/>
            <w:vAlign w:val="center"/>
          </w:tcPr>
          <w:p>
            <w:pPr>
              <w:pStyle w:val="4"/>
              <w:spacing w:line="240" w:lineRule="auto"/>
              <w:jc w:val="center"/>
              <w:rPr>
                <w:rFonts w:asciiTheme="minorEastAsia" w:hAnsiTheme="minorEastAsia" w:eastAsiaTheme="minorEastAsia" w:cstheme="minorEastAsia"/>
              </w:rPr>
            </w:pPr>
          </w:p>
        </w:tc>
        <w:tc>
          <w:tcPr>
            <w:tcW w:w="4863" w:type="dxa"/>
            <w:shd w:val="clear" w:color="auto" w:fill="auto"/>
            <w:vAlign w:val="center"/>
          </w:tcPr>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人民卫生出版社人卫研究院</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32" w:type="dxa"/>
            <w:vAlign w:val="center"/>
          </w:tcPr>
          <w:p>
            <w:pPr>
              <w:widowControl/>
              <w:jc w:val="center"/>
              <w:textAlignment w:val="center"/>
              <w:rPr>
                <w:rFonts w:asciiTheme="minorEastAsia" w:hAnsiTheme="minorEastAsia" w:eastAsiaTheme="minorEastAsia" w:cstheme="minorEastAsia"/>
                <w:sz w:val="24"/>
              </w:rPr>
            </w:pPr>
            <w:r>
              <w:rPr>
                <w:rFonts w:hint="eastAsia" w:ascii="宋体" w:hAnsi="宋体" w:cs="宋体"/>
                <w:color w:val="000000"/>
                <w:kern w:val="0"/>
                <w:sz w:val="24"/>
                <w:lang w:bidi="ar"/>
              </w:rPr>
              <w:t>6</w:t>
            </w:r>
          </w:p>
        </w:tc>
        <w:tc>
          <w:tcPr>
            <w:tcW w:w="2698" w:type="dxa"/>
            <w:vMerge w:val="continue"/>
            <w:vAlign w:val="center"/>
          </w:tcPr>
          <w:p>
            <w:pPr>
              <w:pStyle w:val="4"/>
              <w:spacing w:line="240" w:lineRule="auto"/>
              <w:jc w:val="center"/>
              <w:rPr>
                <w:rFonts w:asciiTheme="minorEastAsia" w:hAnsiTheme="minorEastAsia" w:eastAsiaTheme="minorEastAsia" w:cstheme="minorEastAsia"/>
              </w:rPr>
            </w:pPr>
          </w:p>
        </w:tc>
        <w:tc>
          <w:tcPr>
            <w:tcW w:w="4863" w:type="dxa"/>
            <w:shd w:val="clear" w:color="auto" w:fill="auto"/>
            <w:vAlign w:val="center"/>
          </w:tcPr>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北京人卫智数科技有限公司</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32" w:type="dxa"/>
            <w:vAlign w:val="center"/>
          </w:tcPr>
          <w:p>
            <w:pPr>
              <w:widowControl/>
              <w:jc w:val="center"/>
              <w:textAlignment w:val="center"/>
              <w:rPr>
                <w:rFonts w:asciiTheme="minorEastAsia" w:hAnsiTheme="minorEastAsia" w:eastAsiaTheme="minorEastAsia" w:cstheme="minorEastAsia"/>
                <w:sz w:val="24"/>
              </w:rPr>
            </w:pPr>
            <w:r>
              <w:rPr>
                <w:rFonts w:hint="eastAsia" w:ascii="宋体" w:hAnsi="宋体" w:cs="宋体"/>
                <w:color w:val="000000"/>
                <w:kern w:val="0"/>
                <w:sz w:val="24"/>
                <w:lang w:bidi="ar"/>
              </w:rPr>
              <w:t>7</w:t>
            </w:r>
          </w:p>
        </w:tc>
        <w:tc>
          <w:tcPr>
            <w:tcW w:w="2698" w:type="dxa"/>
            <w:vMerge w:val="continue"/>
            <w:vAlign w:val="center"/>
          </w:tcPr>
          <w:p>
            <w:pPr>
              <w:pStyle w:val="4"/>
              <w:spacing w:line="240" w:lineRule="auto"/>
              <w:jc w:val="center"/>
              <w:rPr>
                <w:rFonts w:asciiTheme="minorEastAsia" w:hAnsiTheme="minorEastAsia" w:eastAsiaTheme="minorEastAsia" w:cstheme="minorEastAsia"/>
              </w:rPr>
            </w:pPr>
          </w:p>
        </w:tc>
        <w:tc>
          <w:tcPr>
            <w:tcW w:w="4863" w:type="dxa"/>
            <w:shd w:val="clear" w:color="auto" w:fill="auto"/>
            <w:vAlign w:val="center"/>
          </w:tcPr>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有科期刊出版(北京)有限公司</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32" w:type="dxa"/>
            <w:vAlign w:val="center"/>
          </w:tcPr>
          <w:p>
            <w:pPr>
              <w:widowControl/>
              <w:jc w:val="center"/>
              <w:textAlignment w:val="center"/>
              <w:rPr>
                <w:rFonts w:asciiTheme="minorEastAsia" w:hAnsiTheme="minorEastAsia" w:eastAsiaTheme="minorEastAsia" w:cstheme="minorEastAsia"/>
                <w:sz w:val="24"/>
              </w:rPr>
            </w:pPr>
            <w:r>
              <w:rPr>
                <w:rFonts w:hint="eastAsia" w:ascii="宋体" w:hAnsi="宋体" w:cs="宋体"/>
                <w:color w:val="000000"/>
                <w:kern w:val="0"/>
                <w:sz w:val="24"/>
                <w:lang w:bidi="ar"/>
              </w:rPr>
              <w:t>8</w:t>
            </w:r>
          </w:p>
        </w:tc>
        <w:tc>
          <w:tcPr>
            <w:tcW w:w="2698" w:type="dxa"/>
            <w:vMerge w:val="restart"/>
            <w:vAlign w:val="center"/>
          </w:tcPr>
          <w:p>
            <w:pPr>
              <w:pStyle w:val="4"/>
              <w:spacing w:line="240" w:lineRule="auto"/>
              <w:jc w:val="center"/>
              <w:rPr>
                <w:rFonts w:asciiTheme="minorEastAsia" w:hAnsiTheme="minorEastAsia" w:eastAsiaTheme="minorEastAsia" w:cstheme="minorEastAsia"/>
              </w:rPr>
            </w:pPr>
            <w:r>
              <w:rPr>
                <w:rFonts w:hint="eastAsia" w:asciiTheme="minorEastAsia" w:hAnsiTheme="minorEastAsia" w:eastAsiaTheme="minorEastAsia" w:cstheme="minorEastAsia"/>
              </w:rPr>
              <w:t>成员单位</w:t>
            </w:r>
          </w:p>
          <w:p>
            <w:pPr>
              <w:pStyle w:val="4"/>
              <w:spacing w:line="240" w:lineRule="auto"/>
              <w:jc w:val="center"/>
              <w:rPr>
                <w:rFonts w:asciiTheme="minorEastAsia" w:hAnsiTheme="minorEastAsia" w:eastAsiaTheme="minorEastAsia" w:cstheme="minorEastAsia"/>
              </w:rPr>
            </w:pPr>
            <w:r>
              <w:rPr>
                <w:rFonts w:hint="eastAsia" w:asciiTheme="minorEastAsia" w:hAnsiTheme="minorEastAsia" w:eastAsiaTheme="minorEastAsia" w:cstheme="minorEastAsia"/>
              </w:rPr>
              <w:t>（排名不分先后）</w:t>
            </w:r>
          </w:p>
        </w:tc>
        <w:tc>
          <w:tcPr>
            <w:tcW w:w="4863" w:type="dxa"/>
            <w:shd w:val="clear" w:color="auto" w:fill="auto"/>
            <w:vAlign w:val="center"/>
          </w:tcPr>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中国社会科学评价研究院</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32" w:type="dxa"/>
            <w:vAlign w:val="center"/>
          </w:tcPr>
          <w:p>
            <w:pPr>
              <w:widowControl/>
              <w:jc w:val="center"/>
              <w:textAlignment w:val="center"/>
              <w:rPr>
                <w:rFonts w:asciiTheme="minorEastAsia" w:hAnsiTheme="minorEastAsia" w:eastAsiaTheme="minorEastAsia" w:cstheme="minorEastAsia"/>
                <w:sz w:val="24"/>
              </w:rPr>
            </w:pPr>
            <w:r>
              <w:rPr>
                <w:rFonts w:hint="eastAsia" w:ascii="宋体" w:hAnsi="宋体" w:cs="宋体"/>
                <w:color w:val="000000"/>
                <w:kern w:val="0"/>
                <w:sz w:val="24"/>
                <w:lang w:bidi="ar"/>
              </w:rPr>
              <w:t>9</w:t>
            </w:r>
          </w:p>
        </w:tc>
        <w:tc>
          <w:tcPr>
            <w:tcW w:w="2698" w:type="dxa"/>
            <w:vMerge w:val="continue"/>
            <w:tcBorders/>
            <w:vAlign w:val="center"/>
          </w:tcPr>
          <w:p>
            <w:pPr>
              <w:pStyle w:val="4"/>
              <w:spacing w:line="240" w:lineRule="auto"/>
              <w:jc w:val="center"/>
              <w:rPr>
                <w:rFonts w:asciiTheme="minorEastAsia" w:hAnsiTheme="minorEastAsia" w:eastAsiaTheme="minorEastAsia" w:cstheme="minorEastAsia"/>
              </w:rPr>
            </w:pPr>
          </w:p>
        </w:tc>
        <w:tc>
          <w:tcPr>
            <w:tcW w:w="4863" w:type="dxa"/>
            <w:shd w:val="clear" w:color="auto" w:fill="auto"/>
            <w:vAlign w:val="center"/>
          </w:tcPr>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北京信工博特智能科技有限公司</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32" w:type="dxa"/>
            <w:vAlign w:val="center"/>
          </w:tcPr>
          <w:p>
            <w:pPr>
              <w:widowControl/>
              <w:jc w:val="center"/>
              <w:textAlignment w:val="center"/>
              <w:rPr>
                <w:rFonts w:asciiTheme="minorEastAsia" w:hAnsiTheme="minorEastAsia" w:eastAsiaTheme="minorEastAsia" w:cstheme="minorEastAsia"/>
                <w:sz w:val="24"/>
              </w:rPr>
            </w:pPr>
            <w:r>
              <w:rPr>
                <w:rFonts w:hint="eastAsia" w:ascii="宋体" w:hAnsi="宋体" w:cs="宋体"/>
                <w:color w:val="000000"/>
                <w:kern w:val="0"/>
                <w:sz w:val="24"/>
                <w:lang w:bidi="ar"/>
              </w:rPr>
              <w:t>10</w:t>
            </w:r>
          </w:p>
        </w:tc>
        <w:tc>
          <w:tcPr>
            <w:tcW w:w="2698" w:type="dxa"/>
            <w:vMerge w:val="continue"/>
            <w:tcBorders/>
            <w:vAlign w:val="center"/>
          </w:tcPr>
          <w:p>
            <w:pPr>
              <w:pStyle w:val="4"/>
              <w:spacing w:line="240" w:lineRule="auto"/>
              <w:jc w:val="center"/>
              <w:rPr>
                <w:rFonts w:asciiTheme="minorEastAsia" w:hAnsiTheme="minorEastAsia" w:eastAsiaTheme="minorEastAsia" w:cstheme="minorEastAsia"/>
              </w:rPr>
            </w:pPr>
          </w:p>
        </w:tc>
        <w:tc>
          <w:tcPr>
            <w:tcW w:w="4863" w:type="dxa"/>
            <w:shd w:val="clear" w:color="auto" w:fill="auto"/>
            <w:vAlign w:val="center"/>
          </w:tcPr>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重庆泛语科技有限公司</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32" w:type="dxa"/>
            <w:vAlign w:val="center"/>
          </w:tcPr>
          <w:p>
            <w:pPr>
              <w:widowControl/>
              <w:jc w:val="center"/>
              <w:textAlignment w:val="center"/>
              <w:rPr>
                <w:rFonts w:asciiTheme="minorEastAsia" w:hAnsiTheme="minorEastAsia" w:eastAsiaTheme="minorEastAsia" w:cstheme="minorEastAsia"/>
                <w:sz w:val="24"/>
              </w:rPr>
            </w:pPr>
            <w:r>
              <w:rPr>
                <w:rFonts w:hint="eastAsia" w:ascii="宋体" w:hAnsi="宋体" w:cs="宋体"/>
                <w:color w:val="000000"/>
                <w:kern w:val="0"/>
                <w:sz w:val="24"/>
                <w:lang w:bidi="ar"/>
              </w:rPr>
              <w:t>11</w:t>
            </w:r>
          </w:p>
        </w:tc>
        <w:tc>
          <w:tcPr>
            <w:tcW w:w="2698" w:type="dxa"/>
            <w:vMerge w:val="continue"/>
            <w:tcBorders/>
            <w:vAlign w:val="center"/>
          </w:tcPr>
          <w:p>
            <w:pPr>
              <w:pStyle w:val="4"/>
              <w:spacing w:line="240" w:lineRule="auto"/>
              <w:jc w:val="center"/>
              <w:rPr>
                <w:rFonts w:asciiTheme="minorEastAsia" w:hAnsiTheme="minorEastAsia" w:eastAsiaTheme="minorEastAsia" w:cstheme="minorEastAsia"/>
              </w:rPr>
            </w:pPr>
          </w:p>
        </w:tc>
        <w:tc>
          <w:tcPr>
            <w:tcW w:w="4863" w:type="dxa"/>
            <w:shd w:val="clear" w:color="auto" w:fill="auto"/>
            <w:vAlign w:val="center"/>
          </w:tcPr>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中国建筑出版传媒有限公司</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32" w:type="dxa"/>
            <w:vAlign w:val="center"/>
          </w:tcPr>
          <w:p>
            <w:pPr>
              <w:widowControl/>
              <w:jc w:val="center"/>
              <w:textAlignment w:val="center"/>
              <w:rPr>
                <w:rFonts w:asciiTheme="minorEastAsia" w:hAnsiTheme="minorEastAsia" w:eastAsiaTheme="minorEastAsia" w:cstheme="minorEastAsia"/>
                <w:sz w:val="24"/>
              </w:rPr>
            </w:pPr>
            <w:r>
              <w:rPr>
                <w:rFonts w:hint="eastAsia" w:ascii="宋体" w:hAnsi="宋体" w:cs="宋体"/>
                <w:color w:val="000000"/>
                <w:kern w:val="0"/>
                <w:sz w:val="24"/>
                <w:lang w:bidi="ar"/>
              </w:rPr>
              <w:t>12</w:t>
            </w:r>
          </w:p>
        </w:tc>
        <w:tc>
          <w:tcPr>
            <w:tcW w:w="2698" w:type="dxa"/>
            <w:vMerge w:val="continue"/>
            <w:tcBorders/>
            <w:vAlign w:val="center"/>
          </w:tcPr>
          <w:p>
            <w:pPr>
              <w:pStyle w:val="4"/>
              <w:spacing w:line="240" w:lineRule="auto"/>
              <w:jc w:val="center"/>
              <w:rPr>
                <w:rFonts w:asciiTheme="minorEastAsia" w:hAnsiTheme="minorEastAsia" w:eastAsiaTheme="minorEastAsia" w:cstheme="minorEastAsia"/>
              </w:rPr>
            </w:pPr>
          </w:p>
        </w:tc>
        <w:tc>
          <w:tcPr>
            <w:tcW w:w="4863" w:type="dxa"/>
            <w:shd w:val="clear" w:color="auto" w:fill="auto"/>
            <w:vAlign w:val="center"/>
          </w:tcPr>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《图书情报工作》杂志社有限公司</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32" w:type="dxa"/>
            <w:vAlign w:val="center"/>
          </w:tcPr>
          <w:p>
            <w:pPr>
              <w:widowControl/>
              <w:jc w:val="center"/>
              <w:textAlignment w:val="center"/>
              <w:rPr>
                <w:rFonts w:asciiTheme="minorEastAsia" w:hAnsiTheme="minorEastAsia" w:eastAsiaTheme="minorEastAsia" w:cstheme="minorEastAsia"/>
                <w:sz w:val="24"/>
              </w:rPr>
            </w:pPr>
            <w:r>
              <w:rPr>
                <w:rFonts w:hint="eastAsia" w:ascii="宋体" w:hAnsi="宋体" w:cs="宋体"/>
                <w:color w:val="000000"/>
                <w:kern w:val="0"/>
                <w:sz w:val="24"/>
                <w:lang w:bidi="ar"/>
              </w:rPr>
              <w:t>13</w:t>
            </w:r>
          </w:p>
        </w:tc>
        <w:tc>
          <w:tcPr>
            <w:tcW w:w="2698" w:type="dxa"/>
            <w:vMerge w:val="continue"/>
            <w:tcBorders/>
            <w:vAlign w:val="center"/>
          </w:tcPr>
          <w:p>
            <w:pPr>
              <w:pStyle w:val="4"/>
              <w:spacing w:line="240" w:lineRule="auto"/>
              <w:jc w:val="center"/>
              <w:rPr>
                <w:rFonts w:asciiTheme="minorEastAsia" w:hAnsiTheme="minorEastAsia" w:eastAsiaTheme="minorEastAsia" w:cstheme="minorEastAsia"/>
              </w:rPr>
            </w:pPr>
          </w:p>
        </w:tc>
        <w:tc>
          <w:tcPr>
            <w:tcW w:w="4863" w:type="dxa"/>
            <w:shd w:val="clear" w:color="auto" w:fill="auto"/>
            <w:vAlign w:val="center"/>
          </w:tcPr>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北京大学(王选计算机研究所)</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32" w:type="dxa"/>
            <w:vAlign w:val="center"/>
          </w:tcPr>
          <w:p>
            <w:pPr>
              <w:widowControl/>
              <w:jc w:val="center"/>
              <w:textAlignment w:val="center"/>
              <w:rPr>
                <w:rFonts w:asciiTheme="minorEastAsia" w:hAnsiTheme="minorEastAsia" w:eastAsiaTheme="minorEastAsia" w:cstheme="minorEastAsia"/>
                <w:sz w:val="24"/>
              </w:rPr>
            </w:pPr>
            <w:r>
              <w:rPr>
                <w:rFonts w:hint="eastAsia" w:ascii="宋体" w:hAnsi="宋体" w:cs="宋体"/>
                <w:color w:val="000000"/>
                <w:kern w:val="0"/>
                <w:sz w:val="24"/>
                <w:lang w:bidi="ar"/>
              </w:rPr>
              <w:t>14</w:t>
            </w:r>
          </w:p>
        </w:tc>
        <w:tc>
          <w:tcPr>
            <w:tcW w:w="2698" w:type="dxa"/>
            <w:vMerge w:val="continue"/>
            <w:tcBorders/>
            <w:vAlign w:val="center"/>
          </w:tcPr>
          <w:p>
            <w:pPr>
              <w:pStyle w:val="4"/>
              <w:spacing w:line="240" w:lineRule="auto"/>
              <w:jc w:val="center"/>
              <w:rPr>
                <w:rFonts w:asciiTheme="minorEastAsia" w:hAnsiTheme="minorEastAsia" w:eastAsiaTheme="minorEastAsia" w:cstheme="minorEastAsia"/>
              </w:rPr>
            </w:pPr>
          </w:p>
        </w:tc>
        <w:tc>
          <w:tcPr>
            <w:tcW w:w="4863" w:type="dxa"/>
            <w:shd w:val="clear" w:color="auto" w:fill="auto"/>
            <w:vAlign w:val="center"/>
          </w:tcPr>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中国政法大学</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32" w:type="dxa"/>
            <w:vAlign w:val="center"/>
          </w:tcPr>
          <w:p>
            <w:pPr>
              <w:widowControl/>
              <w:jc w:val="center"/>
              <w:textAlignment w:val="center"/>
              <w:rPr>
                <w:rFonts w:asciiTheme="minorEastAsia" w:hAnsiTheme="minorEastAsia" w:eastAsiaTheme="minorEastAsia" w:cstheme="minorEastAsia"/>
                <w:sz w:val="24"/>
              </w:rPr>
            </w:pPr>
            <w:r>
              <w:rPr>
                <w:rFonts w:hint="eastAsia" w:ascii="宋体" w:hAnsi="宋体" w:cs="宋体"/>
                <w:color w:val="000000"/>
                <w:kern w:val="0"/>
                <w:sz w:val="24"/>
                <w:lang w:bidi="ar"/>
              </w:rPr>
              <w:t>15</w:t>
            </w:r>
          </w:p>
        </w:tc>
        <w:tc>
          <w:tcPr>
            <w:tcW w:w="2698" w:type="dxa"/>
            <w:vMerge w:val="continue"/>
            <w:tcBorders/>
            <w:vAlign w:val="center"/>
          </w:tcPr>
          <w:p>
            <w:pPr>
              <w:pStyle w:val="4"/>
              <w:spacing w:line="240" w:lineRule="auto"/>
              <w:jc w:val="center"/>
              <w:rPr>
                <w:rFonts w:asciiTheme="minorEastAsia" w:hAnsiTheme="minorEastAsia" w:eastAsiaTheme="minorEastAsia" w:cstheme="minorEastAsia"/>
              </w:rPr>
            </w:pPr>
          </w:p>
        </w:tc>
        <w:tc>
          <w:tcPr>
            <w:tcW w:w="4863" w:type="dxa"/>
            <w:shd w:val="clear" w:color="auto" w:fill="auto"/>
            <w:vAlign w:val="center"/>
          </w:tcPr>
          <w:p>
            <w:pPr>
              <w:pStyle w:val="4"/>
              <w:spacing w:line="240" w:lineRule="auto"/>
              <w:jc w:val="center"/>
              <w:rPr>
                <w:rFonts w:asciiTheme="minorEastAsia" w:hAnsiTheme="minorEastAsia" w:eastAsiaTheme="minorEastAsia" w:cstheme="minorEastAsia"/>
              </w:rPr>
            </w:pPr>
            <w:r>
              <w:rPr>
                <w:rFonts w:hint="eastAsia" w:asciiTheme="minorEastAsia" w:hAnsiTheme="minorEastAsia" w:eastAsiaTheme="minorEastAsia" w:cstheme="minorEastAsia"/>
              </w:rPr>
              <w:t>北京时代华文书局有限公司</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32" w:type="dxa"/>
            <w:shd w:val="clear" w:color="auto" w:fill="auto"/>
            <w:vAlign w:val="center"/>
          </w:tcPr>
          <w:p>
            <w:pPr>
              <w:widowControl/>
              <w:jc w:val="center"/>
              <w:textAlignment w:val="center"/>
              <w:rPr>
                <w:rFonts w:asciiTheme="minorEastAsia" w:hAnsiTheme="minorEastAsia" w:eastAsiaTheme="minorEastAsia" w:cstheme="minorEastAsia"/>
                <w:sz w:val="24"/>
              </w:rPr>
            </w:pPr>
            <w:r>
              <w:rPr>
                <w:rFonts w:hint="eastAsia" w:ascii="宋体" w:hAnsi="宋体" w:cs="宋体"/>
                <w:color w:val="000000"/>
                <w:kern w:val="0"/>
                <w:sz w:val="24"/>
                <w:lang w:bidi="ar"/>
              </w:rPr>
              <w:t>16</w:t>
            </w:r>
          </w:p>
        </w:tc>
        <w:tc>
          <w:tcPr>
            <w:tcW w:w="2698" w:type="dxa"/>
            <w:vMerge w:val="continue"/>
            <w:tcBorders/>
            <w:shd w:val="clear" w:color="auto" w:fill="auto"/>
            <w:vAlign w:val="center"/>
          </w:tcPr>
          <w:p>
            <w:pPr>
              <w:pStyle w:val="4"/>
              <w:spacing w:line="240" w:lineRule="auto"/>
              <w:jc w:val="center"/>
              <w:rPr>
                <w:rFonts w:asciiTheme="minorEastAsia" w:hAnsiTheme="minorEastAsia" w:eastAsiaTheme="minorEastAsia" w:cstheme="minorEastAsia"/>
              </w:rPr>
            </w:pPr>
          </w:p>
        </w:tc>
        <w:tc>
          <w:tcPr>
            <w:tcW w:w="4863" w:type="dxa"/>
            <w:shd w:val="clear" w:color="auto" w:fill="auto"/>
            <w:vAlign w:val="center"/>
          </w:tcPr>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中国科学技术信息研究所</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32" w:type="dxa"/>
            <w:shd w:val="clear" w:color="auto" w:fill="auto"/>
            <w:vAlign w:val="center"/>
          </w:tcPr>
          <w:p>
            <w:pPr>
              <w:widowControl/>
              <w:jc w:val="center"/>
              <w:textAlignment w:val="center"/>
              <w:rPr>
                <w:rFonts w:asciiTheme="minorEastAsia" w:hAnsiTheme="minorEastAsia" w:eastAsiaTheme="minorEastAsia" w:cstheme="minorEastAsia"/>
                <w:sz w:val="24"/>
              </w:rPr>
            </w:pPr>
            <w:r>
              <w:rPr>
                <w:rFonts w:hint="eastAsia" w:ascii="宋体" w:hAnsi="宋体" w:cs="宋体"/>
                <w:color w:val="000000"/>
                <w:kern w:val="0"/>
                <w:sz w:val="24"/>
                <w:lang w:bidi="ar"/>
              </w:rPr>
              <w:t>17</w:t>
            </w:r>
          </w:p>
        </w:tc>
        <w:tc>
          <w:tcPr>
            <w:tcW w:w="2698" w:type="dxa"/>
            <w:vMerge w:val="continue"/>
            <w:tcBorders/>
            <w:shd w:val="clear" w:color="auto" w:fill="auto"/>
            <w:vAlign w:val="center"/>
          </w:tcPr>
          <w:p>
            <w:pPr>
              <w:pStyle w:val="4"/>
              <w:spacing w:line="240" w:lineRule="auto"/>
              <w:jc w:val="center"/>
              <w:rPr>
                <w:rFonts w:asciiTheme="minorEastAsia" w:hAnsiTheme="minorEastAsia" w:eastAsiaTheme="minorEastAsia" w:cstheme="minorEastAsia"/>
              </w:rPr>
            </w:pPr>
          </w:p>
        </w:tc>
        <w:tc>
          <w:tcPr>
            <w:tcW w:w="4863" w:type="dxa"/>
            <w:shd w:val="clear" w:color="auto" w:fill="auto"/>
            <w:vAlign w:val="center"/>
          </w:tcPr>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中译文娱科技(青岛)有限公司</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32" w:type="dxa"/>
            <w:shd w:val="clear" w:color="auto" w:fill="auto"/>
            <w:vAlign w:val="center"/>
          </w:tcPr>
          <w:p>
            <w:pPr>
              <w:widowControl/>
              <w:jc w:val="center"/>
              <w:textAlignment w:val="center"/>
              <w:rPr>
                <w:rFonts w:asciiTheme="minorEastAsia" w:hAnsiTheme="minorEastAsia" w:eastAsiaTheme="minorEastAsia" w:cstheme="minorEastAsia"/>
                <w:sz w:val="24"/>
              </w:rPr>
            </w:pPr>
            <w:r>
              <w:rPr>
                <w:rFonts w:hint="eastAsia" w:ascii="宋体" w:hAnsi="宋体" w:cs="宋体"/>
                <w:color w:val="000000"/>
                <w:kern w:val="0"/>
                <w:sz w:val="24"/>
                <w:lang w:bidi="ar"/>
              </w:rPr>
              <w:t>18</w:t>
            </w:r>
          </w:p>
        </w:tc>
        <w:tc>
          <w:tcPr>
            <w:tcW w:w="2698" w:type="dxa"/>
            <w:vMerge w:val="continue"/>
            <w:tcBorders/>
            <w:shd w:val="clear" w:color="auto" w:fill="auto"/>
            <w:vAlign w:val="center"/>
          </w:tcPr>
          <w:p>
            <w:pPr>
              <w:pStyle w:val="4"/>
              <w:spacing w:line="240" w:lineRule="auto"/>
              <w:jc w:val="center"/>
              <w:rPr>
                <w:rFonts w:asciiTheme="minorEastAsia" w:hAnsiTheme="minorEastAsia" w:eastAsiaTheme="minorEastAsia" w:cstheme="minorEastAsia"/>
              </w:rPr>
            </w:pPr>
          </w:p>
        </w:tc>
        <w:tc>
          <w:tcPr>
            <w:tcW w:w="4863" w:type="dxa"/>
            <w:shd w:val="clear" w:color="auto" w:fill="auto"/>
            <w:vAlign w:val="center"/>
          </w:tcPr>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福建省出版物监测与研究中心</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32" w:type="dxa"/>
            <w:shd w:val="clear" w:color="auto" w:fill="auto"/>
            <w:vAlign w:val="center"/>
          </w:tcPr>
          <w:p>
            <w:pPr>
              <w:widowControl/>
              <w:jc w:val="center"/>
              <w:textAlignment w:val="center"/>
              <w:rPr>
                <w:rFonts w:asciiTheme="minorEastAsia" w:hAnsiTheme="minorEastAsia" w:eastAsiaTheme="minorEastAsia" w:cstheme="minorEastAsia"/>
                <w:sz w:val="24"/>
              </w:rPr>
            </w:pPr>
            <w:r>
              <w:rPr>
                <w:rFonts w:hint="eastAsia" w:ascii="宋体" w:hAnsi="宋体" w:cs="宋体"/>
                <w:color w:val="000000"/>
                <w:kern w:val="0"/>
                <w:sz w:val="24"/>
                <w:lang w:bidi="ar"/>
              </w:rPr>
              <w:t>19</w:t>
            </w:r>
          </w:p>
        </w:tc>
        <w:tc>
          <w:tcPr>
            <w:tcW w:w="2698" w:type="dxa"/>
            <w:vMerge w:val="continue"/>
            <w:tcBorders/>
            <w:shd w:val="clear" w:color="auto" w:fill="auto"/>
            <w:vAlign w:val="center"/>
          </w:tcPr>
          <w:p>
            <w:pPr>
              <w:pStyle w:val="4"/>
              <w:spacing w:line="240" w:lineRule="auto"/>
              <w:jc w:val="center"/>
              <w:rPr>
                <w:rFonts w:asciiTheme="minorEastAsia" w:hAnsiTheme="minorEastAsia" w:eastAsiaTheme="minorEastAsia" w:cstheme="minorEastAsia"/>
              </w:rPr>
            </w:pPr>
          </w:p>
        </w:tc>
        <w:tc>
          <w:tcPr>
            <w:tcW w:w="4863" w:type="dxa"/>
            <w:shd w:val="clear" w:color="auto" w:fill="auto"/>
            <w:vAlign w:val="center"/>
          </w:tcPr>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上海理工大学</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32" w:type="dxa"/>
            <w:shd w:val="clear" w:color="auto" w:fill="auto"/>
            <w:vAlign w:val="center"/>
          </w:tcPr>
          <w:p>
            <w:pPr>
              <w:widowControl/>
              <w:jc w:val="center"/>
              <w:textAlignment w:val="center"/>
              <w:rPr>
                <w:rFonts w:asciiTheme="minorEastAsia" w:hAnsiTheme="minorEastAsia" w:eastAsiaTheme="minorEastAsia" w:cstheme="minorEastAsia"/>
                <w:sz w:val="24"/>
              </w:rPr>
            </w:pPr>
            <w:r>
              <w:rPr>
                <w:rFonts w:hint="eastAsia" w:ascii="宋体" w:hAnsi="宋体" w:cs="宋体"/>
                <w:color w:val="000000"/>
                <w:kern w:val="0"/>
                <w:sz w:val="24"/>
                <w:lang w:bidi="ar"/>
              </w:rPr>
              <w:t>20</w:t>
            </w:r>
          </w:p>
        </w:tc>
        <w:tc>
          <w:tcPr>
            <w:tcW w:w="2698" w:type="dxa"/>
            <w:vMerge w:val="continue"/>
            <w:tcBorders/>
            <w:shd w:val="clear" w:color="auto" w:fill="auto"/>
            <w:vAlign w:val="center"/>
          </w:tcPr>
          <w:p>
            <w:pPr>
              <w:pStyle w:val="4"/>
              <w:spacing w:line="240" w:lineRule="auto"/>
              <w:jc w:val="center"/>
              <w:rPr>
                <w:rFonts w:asciiTheme="minorEastAsia" w:hAnsiTheme="minorEastAsia" w:eastAsiaTheme="minorEastAsia" w:cstheme="minorEastAsia"/>
              </w:rPr>
            </w:pPr>
          </w:p>
        </w:tc>
        <w:tc>
          <w:tcPr>
            <w:tcW w:w="4863" w:type="dxa"/>
            <w:shd w:val="clear" w:color="auto" w:fill="auto"/>
            <w:vAlign w:val="center"/>
          </w:tcPr>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中国工商出版社有限公司</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32" w:type="dxa"/>
            <w:shd w:val="clear" w:color="auto" w:fill="auto"/>
            <w:vAlign w:val="center"/>
          </w:tcPr>
          <w:p>
            <w:pPr>
              <w:widowControl/>
              <w:jc w:val="center"/>
              <w:textAlignment w:val="center"/>
              <w:rPr>
                <w:rFonts w:asciiTheme="minorEastAsia" w:hAnsiTheme="minorEastAsia" w:eastAsiaTheme="minorEastAsia" w:cstheme="minorEastAsia"/>
                <w:sz w:val="24"/>
              </w:rPr>
            </w:pPr>
            <w:r>
              <w:rPr>
                <w:rFonts w:hint="eastAsia" w:ascii="宋体" w:hAnsi="宋体" w:cs="宋体"/>
                <w:color w:val="000000"/>
                <w:kern w:val="0"/>
                <w:sz w:val="24"/>
                <w:lang w:bidi="ar"/>
              </w:rPr>
              <w:t>21</w:t>
            </w:r>
          </w:p>
        </w:tc>
        <w:tc>
          <w:tcPr>
            <w:tcW w:w="2698" w:type="dxa"/>
            <w:vMerge w:val="continue"/>
            <w:tcBorders/>
            <w:shd w:val="clear" w:color="auto" w:fill="auto"/>
            <w:vAlign w:val="center"/>
          </w:tcPr>
          <w:p>
            <w:pPr>
              <w:pStyle w:val="4"/>
              <w:spacing w:line="240" w:lineRule="auto"/>
              <w:jc w:val="center"/>
              <w:rPr>
                <w:rFonts w:asciiTheme="minorEastAsia" w:hAnsiTheme="minorEastAsia" w:eastAsiaTheme="minorEastAsia" w:cstheme="minorEastAsia"/>
              </w:rPr>
            </w:pPr>
          </w:p>
        </w:tc>
        <w:tc>
          <w:tcPr>
            <w:tcW w:w="4863" w:type="dxa"/>
            <w:shd w:val="clear" w:color="auto" w:fill="auto"/>
            <w:vAlign w:val="center"/>
          </w:tcPr>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中图科信数智技术(北京)有限公司</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32" w:type="dxa"/>
            <w:shd w:val="clear" w:color="auto" w:fill="auto"/>
            <w:vAlign w:val="center"/>
          </w:tcPr>
          <w:p>
            <w:pPr>
              <w:widowControl/>
              <w:jc w:val="center"/>
              <w:textAlignment w:val="center"/>
              <w:rPr>
                <w:rFonts w:asciiTheme="minorEastAsia" w:hAnsiTheme="minorEastAsia" w:eastAsiaTheme="minorEastAsia" w:cstheme="minorEastAsia"/>
                <w:sz w:val="24"/>
              </w:rPr>
            </w:pPr>
            <w:r>
              <w:rPr>
                <w:rFonts w:hint="eastAsia" w:ascii="宋体" w:hAnsi="宋体" w:cs="宋体"/>
                <w:color w:val="000000"/>
                <w:kern w:val="0"/>
                <w:sz w:val="24"/>
                <w:lang w:bidi="ar"/>
              </w:rPr>
              <w:t>22</w:t>
            </w:r>
          </w:p>
        </w:tc>
        <w:tc>
          <w:tcPr>
            <w:tcW w:w="2698" w:type="dxa"/>
            <w:vMerge w:val="continue"/>
            <w:tcBorders/>
            <w:shd w:val="clear" w:color="auto" w:fill="auto"/>
            <w:vAlign w:val="center"/>
          </w:tcPr>
          <w:p>
            <w:pPr>
              <w:pStyle w:val="4"/>
              <w:spacing w:line="240" w:lineRule="auto"/>
              <w:jc w:val="center"/>
              <w:rPr>
                <w:rFonts w:asciiTheme="minorEastAsia" w:hAnsiTheme="minorEastAsia" w:eastAsiaTheme="minorEastAsia" w:cstheme="minorEastAsia"/>
              </w:rPr>
            </w:pPr>
          </w:p>
        </w:tc>
        <w:tc>
          <w:tcPr>
            <w:tcW w:w="4863" w:type="dxa"/>
            <w:shd w:val="clear" w:color="auto" w:fill="auto"/>
            <w:vAlign w:val="center"/>
          </w:tcPr>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吉林工程技术师范学院</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32" w:type="dxa"/>
            <w:shd w:val="clear" w:color="auto" w:fill="auto"/>
            <w:vAlign w:val="center"/>
          </w:tcPr>
          <w:p>
            <w:pPr>
              <w:widowControl/>
              <w:jc w:val="center"/>
              <w:textAlignment w:val="center"/>
              <w:rPr>
                <w:rFonts w:asciiTheme="minorEastAsia" w:hAnsiTheme="minorEastAsia" w:eastAsiaTheme="minorEastAsia" w:cstheme="minorEastAsia"/>
                <w:sz w:val="24"/>
              </w:rPr>
            </w:pPr>
            <w:r>
              <w:rPr>
                <w:rFonts w:hint="eastAsia" w:ascii="宋体" w:hAnsi="宋体" w:cs="宋体"/>
                <w:color w:val="000000"/>
                <w:kern w:val="0"/>
                <w:sz w:val="24"/>
                <w:lang w:bidi="ar"/>
              </w:rPr>
              <w:t>23</w:t>
            </w:r>
          </w:p>
        </w:tc>
        <w:tc>
          <w:tcPr>
            <w:tcW w:w="2698" w:type="dxa"/>
            <w:vMerge w:val="continue"/>
            <w:tcBorders/>
            <w:shd w:val="clear" w:color="auto" w:fill="auto"/>
            <w:vAlign w:val="center"/>
          </w:tcPr>
          <w:p>
            <w:pPr>
              <w:pStyle w:val="4"/>
              <w:spacing w:line="240" w:lineRule="auto"/>
              <w:jc w:val="center"/>
              <w:rPr>
                <w:rFonts w:asciiTheme="minorEastAsia" w:hAnsiTheme="minorEastAsia" w:eastAsiaTheme="minorEastAsia" w:cstheme="minorEastAsia"/>
              </w:rPr>
            </w:pPr>
          </w:p>
        </w:tc>
        <w:tc>
          <w:tcPr>
            <w:tcW w:w="4863" w:type="dxa"/>
            <w:shd w:val="clear" w:color="auto" w:fill="auto"/>
            <w:vAlign w:val="center"/>
          </w:tcPr>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中国新闻出版研究院</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32" w:type="dxa"/>
            <w:shd w:val="clear" w:color="auto" w:fill="auto"/>
            <w:vAlign w:val="center"/>
          </w:tcPr>
          <w:p>
            <w:pPr>
              <w:widowControl/>
              <w:jc w:val="center"/>
              <w:textAlignment w:val="center"/>
              <w:rPr>
                <w:rFonts w:hint="eastAsia" w:ascii="宋体" w:hAnsi="宋体" w:eastAsia="宋体" w:cs="宋体"/>
                <w:color w:val="000000"/>
                <w:kern w:val="0"/>
                <w:sz w:val="24"/>
                <w:lang w:val="en-US" w:eastAsia="zh-CN" w:bidi="ar"/>
              </w:rPr>
            </w:pPr>
            <w:r>
              <w:rPr>
                <w:rFonts w:hint="eastAsia" w:ascii="宋体" w:hAnsi="宋体" w:cs="宋体"/>
                <w:color w:val="000000"/>
                <w:kern w:val="0"/>
                <w:sz w:val="24"/>
                <w:lang w:val="en-US" w:eastAsia="zh-CN" w:bidi="ar"/>
              </w:rPr>
              <w:t>24</w:t>
            </w:r>
          </w:p>
        </w:tc>
        <w:tc>
          <w:tcPr>
            <w:tcW w:w="2698" w:type="dxa"/>
            <w:vMerge w:val="continue"/>
            <w:tcBorders/>
            <w:shd w:val="clear" w:color="auto" w:fill="auto"/>
            <w:vAlign w:val="center"/>
          </w:tcPr>
          <w:p>
            <w:pPr>
              <w:pStyle w:val="4"/>
              <w:spacing w:line="240" w:lineRule="auto"/>
              <w:jc w:val="center"/>
              <w:rPr>
                <w:rFonts w:asciiTheme="minorEastAsia" w:hAnsiTheme="minorEastAsia" w:eastAsiaTheme="minorEastAsia" w:cstheme="minorEastAsia"/>
              </w:rPr>
            </w:pPr>
          </w:p>
        </w:tc>
        <w:tc>
          <w:tcPr>
            <w:tcW w:w="4863" w:type="dxa"/>
            <w:shd w:val="clear" w:color="auto" w:fill="auto"/>
            <w:vAlign w:val="center"/>
          </w:tcPr>
          <w:p>
            <w:pPr>
              <w:jc w:val="center"/>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lang w:eastAsia="zh-CN"/>
              </w:rPr>
              <w:t>实用临床医药杂志编辑部</w:t>
            </w:r>
            <w:bookmarkStart w:id="0" w:name="_GoBack"/>
            <w:bookmarkEnd w:id="0"/>
          </w:p>
        </w:tc>
      </w:tr>
    </w:tbl>
    <w:p>
      <w:pPr>
        <w:adjustRightInd w:val="0"/>
        <w:snapToGrid w:val="0"/>
        <w:spacing w:line="360" w:lineRule="auto"/>
        <w:ind w:left="360"/>
        <w:jc w:val="center"/>
        <w:rPr>
          <w:rFonts w:ascii="宋体" w:hAnsi="宋体" w:cs="宋体"/>
          <w:sz w:val="24"/>
        </w:rPr>
      </w:pPr>
    </w:p>
    <w:p>
      <w:pPr>
        <w:numPr>
          <w:ilvl w:val="0"/>
          <w:numId w:val="4"/>
        </w:numPr>
        <w:spacing w:line="360" w:lineRule="auto"/>
        <w:ind w:firstLine="480"/>
        <w:jc w:val="left"/>
        <w:outlineLvl w:val="1"/>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主要工作过程</w:t>
      </w:r>
    </w:p>
    <w:p>
      <w:pPr>
        <w:pStyle w:val="17"/>
        <w:spacing w:line="360" w:lineRule="auto"/>
        <w:ind w:firstLine="480" w:firstLineChars="200"/>
        <w:jc w:val="both"/>
        <w:outlineLvl w:val="2"/>
        <w:rPr>
          <w:rFonts w:asciiTheme="minorEastAsia" w:hAnsiTheme="minorEastAsia" w:eastAsiaTheme="minorEastAsia" w:cstheme="minorEastAsia"/>
          <w:kern w:val="2"/>
        </w:rPr>
      </w:pPr>
      <w:r>
        <w:rPr>
          <w:rFonts w:hint="eastAsia" w:asciiTheme="minorEastAsia" w:hAnsiTheme="minorEastAsia" w:eastAsiaTheme="minorEastAsia" w:cstheme="minorEastAsia"/>
          <w:kern w:val="2"/>
        </w:rPr>
        <w:t>1.预研阶段</w:t>
      </w:r>
    </w:p>
    <w:p>
      <w:pPr>
        <w:pStyle w:val="17"/>
        <w:spacing w:line="360" w:lineRule="auto"/>
        <w:ind w:firstLine="480"/>
        <w:rPr>
          <w:rFonts w:ascii="宋体" w:hAnsi="宋体" w:eastAsia="宋体" w:cs="宋体"/>
        </w:rPr>
      </w:pPr>
      <w:r>
        <w:rPr>
          <w:rFonts w:ascii="宋体" w:hAnsi="宋体" w:eastAsia="宋体" w:cs="宋体"/>
        </w:rPr>
        <w:t>中国知网持续关注并深入调研国内外学术领域关于人工智能应用的相关政策，致力于研究人工智能对学术研究</w:t>
      </w:r>
      <w:r>
        <w:rPr>
          <w:rFonts w:hint="eastAsia" w:ascii="宋体" w:hAnsi="宋体" w:eastAsia="宋体" w:cs="宋体"/>
          <w:lang w:val="en-US" w:eastAsia="zh-CN"/>
        </w:rPr>
        <w:t>和学术出版</w:t>
      </w:r>
      <w:r>
        <w:rPr>
          <w:rFonts w:ascii="宋体" w:hAnsi="宋体" w:eastAsia="宋体" w:cs="宋体"/>
        </w:rPr>
        <w:t>产生的影响，并积极探索相关技术在多领域的应用。在2023年至2024年期间，发表</w:t>
      </w:r>
      <w:r>
        <w:rPr>
          <w:rFonts w:hint="eastAsia" w:ascii="宋体" w:hAnsi="宋体" w:eastAsia="宋体" w:cs="宋体"/>
        </w:rPr>
        <w:t>多篇相关领域</w:t>
      </w:r>
      <w:r>
        <w:rPr>
          <w:rFonts w:ascii="宋体" w:hAnsi="宋体" w:eastAsia="宋体" w:cs="宋体"/>
        </w:rPr>
        <w:t>论文，</w:t>
      </w:r>
      <w:r>
        <w:rPr>
          <w:rFonts w:hint="eastAsia" w:ascii="宋体" w:hAnsi="宋体" w:eastAsia="宋体" w:cs="宋体"/>
        </w:rPr>
        <w:t>如</w:t>
      </w:r>
      <w:r>
        <w:rPr>
          <w:rFonts w:ascii="宋体" w:hAnsi="宋体" w:eastAsia="宋体" w:cs="宋体"/>
        </w:rPr>
        <w:t>《CNKI知识增强大模型建设探索》、《学术研究中使用AIGC工具的风险审视与应对策略研究》、《人工智能大模型赋能文化数字化》、《人工智能与出版伦理：挑战与应对》等。</w:t>
      </w:r>
      <w:r>
        <w:rPr>
          <w:rFonts w:hint="eastAsia" w:ascii="宋体" w:hAnsi="宋体" w:eastAsia="宋体" w:cs="宋体"/>
          <w:lang w:val="en-US" w:eastAsia="zh-CN"/>
        </w:rPr>
        <w:t>同时</w:t>
      </w:r>
      <w:r>
        <w:rPr>
          <w:rFonts w:ascii="宋体" w:hAnsi="宋体" w:eastAsia="宋体" w:cs="宋体"/>
        </w:rPr>
        <w:t>，中国知网</w:t>
      </w:r>
      <w:r>
        <w:rPr>
          <w:rFonts w:hint="eastAsia" w:ascii="宋体" w:hAnsi="宋体" w:eastAsia="宋体" w:cs="宋体"/>
          <w:lang w:val="en-US" w:eastAsia="zh-CN"/>
        </w:rPr>
        <w:t>积极</w:t>
      </w:r>
      <w:r>
        <w:rPr>
          <w:rFonts w:ascii="宋体" w:hAnsi="宋体" w:eastAsia="宋体" w:cs="宋体"/>
        </w:rPr>
        <w:t>参与了</w:t>
      </w:r>
      <w:r>
        <w:rPr>
          <w:rFonts w:hint="eastAsia" w:ascii="宋体" w:hAnsi="宋体" w:eastAsia="宋体" w:cs="宋体"/>
          <w:lang w:val="en-US" w:eastAsia="zh-CN"/>
        </w:rPr>
        <w:t>相关</w:t>
      </w:r>
      <w:r>
        <w:rPr>
          <w:rFonts w:ascii="宋体" w:hAnsi="宋体" w:eastAsia="宋体" w:cs="宋体"/>
        </w:rPr>
        <w:t>标准建设，例如</w:t>
      </w:r>
      <w:r>
        <w:rPr>
          <w:rFonts w:hint="eastAsia" w:ascii="宋体" w:hAnsi="宋体" w:eastAsia="宋体" w:cs="宋体"/>
          <w:lang w:eastAsia="zh-CN"/>
        </w:rPr>
        <w:t>，</w:t>
      </w:r>
      <w:r>
        <w:rPr>
          <w:rFonts w:hint="eastAsia" w:ascii="宋体" w:hAnsi="宋体" w:eastAsia="宋体" w:cs="宋体"/>
          <w:lang w:val="en-US" w:eastAsia="zh-CN"/>
        </w:rPr>
        <w:t>国家标准《</w:t>
      </w:r>
      <w:r>
        <w:rPr>
          <w:rFonts w:ascii="宋体" w:hAnsi="宋体" w:eastAsia="宋体" w:cs="宋体"/>
        </w:rPr>
        <w:t>全人工智能知识图谱技术框架:GB/T 42131-2022</w:t>
      </w:r>
      <w:r>
        <w:rPr>
          <w:rFonts w:hint="eastAsia" w:ascii="宋体" w:hAnsi="宋体" w:eastAsia="宋体" w:cs="宋体"/>
          <w:lang w:val="en-US" w:eastAsia="zh-CN"/>
        </w:rPr>
        <w:t>》</w:t>
      </w:r>
      <w:r>
        <w:rPr>
          <w:rFonts w:ascii="宋体" w:hAnsi="宋体" w:eastAsia="宋体" w:cs="宋体"/>
        </w:rPr>
        <w:t>。</w:t>
      </w:r>
    </w:p>
    <w:p>
      <w:pPr>
        <w:pStyle w:val="17"/>
        <w:spacing w:line="360" w:lineRule="auto"/>
        <w:ind w:firstLine="480"/>
        <w:rPr>
          <w:rFonts w:ascii="宋体" w:hAnsi="宋体" w:eastAsia="宋体" w:cs="宋体"/>
        </w:rPr>
      </w:pPr>
      <w:r>
        <w:rPr>
          <w:rFonts w:ascii="宋体" w:hAnsi="宋体" w:eastAsia="宋体" w:cs="宋体"/>
        </w:rPr>
        <w:t>2023年11月，中国知网与</w:t>
      </w:r>
      <w:r>
        <w:rPr>
          <w:rFonts w:hint="eastAsia" w:ascii="宋体" w:hAnsi="宋体" w:eastAsia="宋体" w:cs="宋体"/>
        </w:rPr>
        <w:t>中国</w:t>
      </w:r>
      <w:r>
        <w:rPr>
          <w:rFonts w:ascii="宋体" w:hAnsi="宋体" w:eastAsia="宋体" w:cs="宋体"/>
        </w:rPr>
        <w:t>新闻出版研究院、山东大学进行了深入的讨论，一致认为建立标准具有必要性和紧迫性，并就标准建设的基本内容达成了共识，同时提出了标准建设的规划。</w:t>
      </w:r>
    </w:p>
    <w:p>
      <w:pPr>
        <w:pStyle w:val="17"/>
        <w:spacing w:line="360" w:lineRule="auto"/>
        <w:ind w:firstLine="480"/>
        <w:rPr>
          <w:rFonts w:ascii="宋体" w:hAnsi="宋体" w:eastAsia="宋体" w:cs="宋体"/>
        </w:rPr>
      </w:pPr>
      <w:r>
        <w:rPr>
          <w:rFonts w:ascii="宋体" w:hAnsi="宋体" w:eastAsia="宋体" w:cs="宋体"/>
        </w:rPr>
        <w:t>2023年12月29日，中国知网向全国新闻出版标准化技术委员会提交了</w:t>
      </w:r>
      <w:r>
        <w:rPr>
          <w:rFonts w:hint="eastAsia" w:ascii="宋体" w:hAnsi="宋体" w:eastAsia="宋体" w:cs="宋体"/>
          <w:lang w:val="en-US" w:eastAsia="zh-CN"/>
        </w:rPr>
        <w:t>项目建议书和</w:t>
      </w:r>
      <w:r>
        <w:rPr>
          <w:rFonts w:ascii="宋体" w:hAnsi="宋体" w:eastAsia="宋体" w:cs="宋体"/>
        </w:rPr>
        <w:t>标准草案，全国新闻出版标准化技术委员会秘书处对提交的</w:t>
      </w:r>
      <w:r>
        <w:rPr>
          <w:rFonts w:hint="default" w:ascii="宋体" w:hAnsi="宋体" w:eastAsia="宋体" w:cs="宋体"/>
          <w:color w:val="000000"/>
          <w:kern w:val="0"/>
          <w:lang w:val="en-US" w:eastAsia="zh-CN"/>
        </w:rPr>
        <w:t>建议书</w:t>
      </w:r>
      <w:r>
        <w:rPr>
          <w:rFonts w:ascii="宋体" w:hAnsi="宋体" w:eastAsia="宋体" w:cs="宋体"/>
        </w:rPr>
        <w:t>及其他相关材料进行了初步评审。</w:t>
      </w:r>
    </w:p>
    <w:p>
      <w:pPr>
        <w:pStyle w:val="17"/>
        <w:spacing w:line="360" w:lineRule="auto"/>
        <w:ind w:firstLine="480"/>
        <w:rPr>
          <w:rFonts w:asciiTheme="minorEastAsia" w:hAnsiTheme="minorEastAsia" w:eastAsiaTheme="minorEastAsia" w:cstheme="minorEastAsia"/>
          <w:kern w:val="2"/>
        </w:rPr>
      </w:pPr>
      <w:r>
        <w:rPr>
          <w:rFonts w:ascii="宋体" w:hAnsi="宋体" w:eastAsia="宋体" w:cs="宋体"/>
        </w:rPr>
        <w:t>2024年4月，标准草案及相关材料经过技术委员会委员的投票，顺利通过，并由</w:t>
      </w:r>
      <w:r>
        <w:rPr>
          <w:rFonts w:hint="eastAsia" w:ascii="宋体" w:hAnsi="宋体" w:eastAsia="宋体" w:cs="宋体"/>
        </w:rPr>
        <w:t>全国</w:t>
      </w:r>
      <w:r>
        <w:rPr>
          <w:rFonts w:ascii="宋体" w:hAnsi="宋体" w:eastAsia="宋体" w:cs="宋体"/>
        </w:rPr>
        <w:t>新闻出版标准化技术委员会上报至国家新闻出版署标准化管理部门，以进行立项评估。</w:t>
      </w:r>
    </w:p>
    <w:p>
      <w:pPr>
        <w:pStyle w:val="17"/>
        <w:spacing w:line="360" w:lineRule="auto"/>
        <w:ind w:firstLine="480" w:firstLineChars="200"/>
        <w:jc w:val="both"/>
        <w:outlineLvl w:val="2"/>
        <w:rPr>
          <w:rFonts w:asciiTheme="minorEastAsia" w:hAnsiTheme="minorEastAsia" w:eastAsiaTheme="minorEastAsia" w:cstheme="minorEastAsia"/>
          <w:kern w:val="2"/>
        </w:rPr>
      </w:pPr>
      <w:r>
        <w:rPr>
          <w:rFonts w:hint="eastAsia" w:asciiTheme="minorEastAsia" w:hAnsiTheme="minorEastAsia" w:eastAsiaTheme="minorEastAsia" w:cstheme="minorEastAsia"/>
          <w:kern w:val="2"/>
        </w:rPr>
        <w:t xml:space="preserve">2.立项阶段 </w:t>
      </w:r>
    </w:p>
    <w:p>
      <w:pPr>
        <w:pStyle w:val="17"/>
        <w:spacing w:line="360" w:lineRule="auto"/>
        <w:ind w:firstLine="480" w:firstLineChars="200"/>
        <w:jc w:val="both"/>
        <w:rPr>
          <w:rFonts w:asciiTheme="minorEastAsia" w:hAnsiTheme="minorEastAsia" w:eastAsiaTheme="minorEastAsia" w:cstheme="minorEastAsia"/>
          <w:kern w:val="2"/>
        </w:rPr>
      </w:pPr>
      <w:r>
        <w:rPr>
          <w:rFonts w:hint="eastAsia" w:asciiTheme="minorEastAsia" w:hAnsiTheme="minorEastAsia" w:eastAsiaTheme="minorEastAsia" w:cstheme="minorEastAsia"/>
          <w:kern w:val="2"/>
        </w:rPr>
        <w:t>经国家新闻出版署立项评估和公示，</w:t>
      </w:r>
      <w:r>
        <w:rPr>
          <w:rFonts w:hint="eastAsia" w:asciiTheme="minorEastAsia" w:hAnsiTheme="minorEastAsia" w:eastAsiaTheme="minorEastAsia" w:cstheme="minorEastAsia"/>
        </w:rPr>
        <w:t>2024年12月24日</w:t>
      </w:r>
      <w:r>
        <w:rPr>
          <w:rFonts w:hint="eastAsia" w:asciiTheme="minorEastAsia" w:hAnsiTheme="minorEastAsia" w:eastAsiaTheme="minorEastAsia" w:cstheme="minorEastAsia"/>
          <w:kern w:val="2"/>
        </w:rPr>
        <w:t>，</w:t>
      </w:r>
      <w:r>
        <w:rPr>
          <w:rFonts w:hint="eastAsia" w:asciiTheme="minorEastAsia" w:hAnsiTheme="minorEastAsia" w:eastAsiaTheme="minorEastAsia" w:cstheme="minorEastAsia"/>
        </w:rPr>
        <w:t>国家新闻出版署发布《国家新闻出版署关于发布《英文图书编辑出版规则》等10项行业标准立项计划的通知》（国新出发函〔2024〕189号）</w:t>
      </w:r>
      <w:r>
        <w:rPr>
          <w:rFonts w:hint="eastAsia" w:asciiTheme="minorEastAsia" w:hAnsiTheme="minorEastAsia" w:eastAsiaTheme="minorEastAsia" w:cstheme="minorEastAsia"/>
          <w:kern w:val="2"/>
        </w:rPr>
        <w:t>，正式批准</w:t>
      </w:r>
      <w:r>
        <w:rPr>
          <w:rFonts w:hint="eastAsia" w:asciiTheme="minorEastAsia" w:hAnsiTheme="minorEastAsia" w:eastAsiaTheme="minorEastAsia" w:cstheme="minorEastAsia"/>
          <w:kern w:val="2"/>
          <w:lang w:val="en-US" w:eastAsia="zh-CN"/>
        </w:rPr>
        <w:t>本</w:t>
      </w:r>
      <w:r>
        <w:rPr>
          <w:rFonts w:hint="eastAsia" w:asciiTheme="minorEastAsia" w:hAnsiTheme="minorEastAsia" w:eastAsiaTheme="minorEastAsia" w:cstheme="minorEastAsia"/>
          <w:kern w:val="2"/>
        </w:rPr>
        <w:t xml:space="preserve">标准立项。 </w:t>
      </w:r>
    </w:p>
    <w:p>
      <w:pPr>
        <w:pStyle w:val="17"/>
        <w:spacing w:line="360" w:lineRule="auto"/>
        <w:ind w:firstLine="480" w:firstLineChars="200"/>
        <w:jc w:val="both"/>
        <w:outlineLvl w:val="2"/>
        <w:rPr>
          <w:rFonts w:asciiTheme="minorEastAsia" w:hAnsiTheme="minorEastAsia" w:eastAsiaTheme="minorEastAsia" w:cstheme="minorEastAsia"/>
          <w:kern w:val="2"/>
        </w:rPr>
      </w:pPr>
      <w:r>
        <w:rPr>
          <w:rFonts w:hint="eastAsia" w:asciiTheme="minorEastAsia" w:hAnsiTheme="minorEastAsia" w:eastAsiaTheme="minorEastAsia" w:cstheme="minorEastAsia"/>
          <w:kern w:val="2"/>
        </w:rPr>
        <w:t xml:space="preserve">3.起草阶段 </w:t>
      </w:r>
    </w:p>
    <w:p>
      <w:pPr>
        <w:pStyle w:val="17"/>
        <w:spacing w:line="360" w:lineRule="auto"/>
        <w:ind w:firstLine="480" w:firstLineChars="200"/>
        <w:jc w:val="both"/>
        <w:rPr>
          <w:rFonts w:asciiTheme="minorEastAsia" w:hAnsiTheme="minorEastAsia" w:eastAsiaTheme="minorEastAsia" w:cstheme="minorEastAsia"/>
          <w:kern w:val="2"/>
        </w:rPr>
      </w:pPr>
      <w:r>
        <w:rPr>
          <w:rFonts w:hint="eastAsia" w:asciiTheme="minorEastAsia" w:hAnsiTheme="minorEastAsia" w:eastAsiaTheme="minorEastAsia" w:cstheme="minorEastAsia"/>
          <w:kern w:val="2"/>
        </w:rPr>
        <w:t>2025年1月，全国新闻出版标准化技术委员会面向行业征集标准起草单位。</w:t>
      </w:r>
    </w:p>
    <w:p>
      <w:pPr>
        <w:pStyle w:val="17"/>
        <w:spacing w:line="360" w:lineRule="auto"/>
        <w:ind w:firstLine="480" w:firstLineChars="200"/>
        <w:jc w:val="both"/>
        <w:rPr>
          <w:rFonts w:hint="eastAsia" w:asciiTheme="minorEastAsia" w:hAnsiTheme="minorEastAsia" w:eastAsiaTheme="minorEastAsia" w:cstheme="minorEastAsia"/>
          <w:kern w:val="2"/>
        </w:rPr>
      </w:pPr>
      <w:r>
        <w:rPr>
          <w:rFonts w:hint="eastAsia" w:asciiTheme="minorEastAsia" w:hAnsiTheme="minorEastAsia" w:eastAsiaTheme="minorEastAsia" w:cstheme="minorEastAsia"/>
          <w:kern w:val="2"/>
          <w:lang w:val="en-US" w:eastAsia="zh-CN"/>
        </w:rPr>
        <w:t>通过征集，</w:t>
      </w:r>
      <w:r>
        <w:rPr>
          <w:rFonts w:asciiTheme="minorEastAsia" w:hAnsiTheme="minorEastAsia" w:eastAsiaTheme="minorEastAsia" w:cstheme="minorEastAsia"/>
          <w:kern w:val="2"/>
        </w:rPr>
        <w:t>共有</w:t>
      </w:r>
      <w:r>
        <w:rPr>
          <w:rFonts w:hint="eastAsia" w:asciiTheme="minorEastAsia" w:hAnsiTheme="minorEastAsia" w:eastAsiaTheme="minorEastAsia" w:cstheme="minorEastAsia"/>
          <w:kern w:val="2"/>
        </w:rPr>
        <w:t>2</w:t>
      </w:r>
      <w:r>
        <w:rPr>
          <w:rFonts w:asciiTheme="minorEastAsia" w:hAnsiTheme="minorEastAsia" w:eastAsiaTheme="minorEastAsia" w:cstheme="minorEastAsia"/>
          <w:kern w:val="2"/>
        </w:rPr>
        <w:t>3</w:t>
      </w:r>
      <w:r>
        <w:rPr>
          <w:rFonts w:hint="eastAsia" w:asciiTheme="minorEastAsia" w:hAnsiTheme="minorEastAsia" w:eastAsiaTheme="minorEastAsia" w:cstheme="minorEastAsia"/>
          <w:kern w:val="2"/>
        </w:rPr>
        <w:t>家单位作为</w:t>
      </w:r>
      <w:r>
        <w:rPr>
          <w:rFonts w:asciiTheme="minorEastAsia" w:hAnsiTheme="minorEastAsia" w:eastAsiaTheme="minorEastAsia" w:cstheme="minorEastAsia"/>
          <w:kern w:val="2"/>
        </w:rPr>
        <w:t>编制组成员</w:t>
      </w:r>
      <w:r>
        <w:rPr>
          <w:rFonts w:hint="eastAsia" w:asciiTheme="minorEastAsia" w:hAnsiTheme="minorEastAsia" w:eastAsiaTheme="minorEastAsia" w:cstheme="minorEastAsia"/>
          <w:kern w:val="2"/>
        </w:rPr>
        <w:t>，</w:t>
      </w:r>
      <w:r>
        <w:rPr>
          <w:rFonts w:asciiTheme="minorEastAsia" w:hAnsiTheme="minorEastAsia" w:eastAsiaTheme="minorEastAsia" w:cstheme="minorEastAsia"/>
          <w:kern w:val="2"/>
        </w:rPr>
        <w:t>其中7</w:t>
      </w:r>
      <w:r>
        <w:rPr>
          <w:rFonts w:hint="eastAsia" w:asciiTheme="minorEastAsia" w:hAnsiTheme="minorEastAsia" w:eastAsiaTheme="minorEastAsia" w:cstheme="minorEastAsia"/>
          <w:kern w:val="2"/>
        </w:rPr>
        <w:t>家单位为</w:t>
      </w:r>
      <w:r>
        <w:rPr>
          <w:rFonts w:asciiTheme="minorEastAsia" w:hAnsiTheme="minorEastAsia" w:eastAsiaTheme="minorEastAsia" w:cstheme="minorEastAsia"/>
          <w:kern w:val="2"/>
        </w:rPr>
        <w:t>正副组长单位。</w:t>
      </w:r>
    </w:p>
    <w:p>
      <w:pPr>
        <w:pStyle w:val="17"/>
        <w:spacing w:line="360" w:lineRule="auto"/>
        <w:ind w:firstLine="480" w:firstLineChars="200"/>
        <w:jc w:val="both"/>
        <w:rPr>
          <w:rFonts w:asciiTheme="minorEastAsia" w:hAnsiTheme="minorEastAsia" w:eastAsiaTheme="minorEastAsia" w:cstheme="minorEastAsia"/>
          <w:kern w:val="2"/>
        </w:rPr>
      </w:pPr>
      <w:r>
        <w:rPr>
          <w:rFonts w:hint="eastAsia" w:asciiTheme="minorEastAsia" w:hAnsiTheme="minorEastAsia" w:eastAsiaTheme="minorEastAsia" w:cstheme="minorEastAsia"/>
          <w:kern w:val="2"/>
        </w:rPr>
        <w:t>2025年7月，全国新闻出版标准化技术委员会组织召开了标准启动会，标准起草组正式成立。</w:t>
      </w:r>
    </w:p>
    <w:p>
      <w:pPr>
        <w:pStyle w:val="17"/>
        <w:spacing w:line="360" w:lineRule="auto"/>
        <w:ind w:firstLine="480" w:firstLineChars="200"/>
        <w:jc w:val="both"/>
        <w:rPr>
          <w:rFonts w:asciiTheme="minorEastAsia" w:hAnsiTheme="minorEastAsia" w:eastAsiaTheme="minorEastAsia" w:cstheme="minorEastAsia"/>
          <w:kern w:val="2"/>
        </w:rPr>
      </w:pPr>
      <w:r>
        <w:rPr>
          <w:rFonts w:hint="eastAsia" w:asciiTheme="minorEastAsia" w:hAnsiTheme="minorEastAsia" w:eastAsiaTheme="minorEastAsia" w:cstheme="minorEastAsia"/>
          <w:kern w:val="2"/>
        </w:rPr>
        <w:t>2025年9月至2025年11月，起草组广泛听取了起草组单位的意见、建议后，经过多次组内讨论，修改完善标准草案，确定了标准的框架和主要技术内容，形成了标准征求意见稿初稿和相关附件。</w:t>
      </w:r>
    </w:p>
    <w:p>
      <w:pPr>
        <w:pStyle w:val="17"/>
        <w:spacing w:line="360" w:lineRule="auto"/>
        <w:ind w:firstLine="482" w:firstLineChars="200"/>
        <w:jc w:val="both"/>
        <w:outlineLvl w:val="0"/>
        <w:rPr>
          <w:rFonts w:asciiTheme="minorEastAsia" w:hAnsiTheme="minorEastAsia" w:eastAsiaTheme="minorEastAsia" w:cstheme="minorEastAsia"/>
          <w:kern w:val="2"/>
        </w:rPr>
      </w:pPr>
      <w:r>
        <w:rPr>
          <w:rFonts w:hint="eastAsia" w:asciiTheme="minorEastAsia" w:hAnsiTheme="minorEastAsia" w:eastAsiaTheme="minorEastAsia" w:cstheme="minorEastAsia"/>
          <w:b/>
        </w:rPr>
        <w:t>二、编制原则、主要内容及其确定依据</w:t>
      </w:r>
    </w:p>
    <w:p>
      <w:pPr>
        <w:pStyle w:val="17"/>
        <w:spacing w:line="360" w:lineRule="auto"/>
        <w:ind w:left="420" w:leftChars="200"/>
        <w:outlineLvl w:val="1"/>
        <w:rPr>
          <w:rFonts w:asciiTheme="minorEastAsia" w:hAnsiTheme="minorEastAsia" w:eastAsiaTheme="minorEastAsia" w:cstheme="minorEastAsia"/>
          <w:bCs/>
        </w:rPr>
      </w:pPr>
      <w:r>
        <w:rPr>
          <w:rFonts w:hint="eastAsia" w:asciiTheme="minorEastAsia" w:hAnsiTheme="minorEastAsia" w:eastAsiaTheme="minorEastAsia" w:cstheme="minorEastAsia"/>
          <w:bCs/>
        </w:rPr>
        <w:t>（一）行业标准编制原则</w:t>
      </w:r>
    </w:p>
    <w:p>
      <w:pPr>
        <w:pStyle w:val="17"/>
        <w:spacing w:line="360" w:lineRule="auto"/>
        <w:ind w:firstLine="480" w:firstLineChars="200"/>
        <w:rPr>
          <w:rFonts w:asciiTheme="minorEastAsia" w:hAnsiTheme="minorEastAsia" w:eastAsiaTheme="minorEastAsia" w:cstheme="minorEastAsia"/>
          <w:bCs/>
        </w:rPr>
      </w:pPr>
      <w:r>
        <w:rPr>
          <w:rFonts w:hint="eastAsia" w:asciiTheme="minorEastAsia" w:hAnsiTheme="minorEastAsia" w:eastAsiaTheme="minorEastAsia" w:cstheme="minorEastAsia"/>
          <w:bCs/>
        </w:rPr>
        <w:t>本文件的编制遵循“科学性、适用性、规范性”原则，按照GB/T 1.1—2020《标准化工作导则 第1部分：标准化文件的结构和起草规则》的规定起草。</w:t>
      </w:r>
    </w:p>
    <w:p>
      <w:pPr>
        <w:pStyle w:val="17"/>
        <w:numPr>
          <w:ilvl w:val="255"/>
          <w:numId w:val="0"/>
        </w:numPr>
        <w:spacing w:line="360" w:lineRule="auto"/>
        <w:jc w:val="both"/>
        <w:outlineLvl w:val="2"/>
        <w:rPr>
          <w:rFonts w:asciiTheme="minorEastAsia" w:hAnsiTheme="minorEastAsia" w:eastAsiaTheme="minorEastAsia" w:cstheme="minorEastAsia"/>
          <w:kern w:val="2"/>
          <w:highlight w:val="yellow"/>
        </w:rPr>
      </w:pPr>
      <w:r>
        <w:rPr>
          <w:rFonts w:hint="eastAsia" w:asciiTheme="minorEastAsia" w:hAnsiTheme="minorEastAsia" w:eastAsiaTheme="minorEastAsia" w:cstheme="minorEastAsia"/>
          <w:kern w:val="2"/>
        </w:rPr>
        <w:t xml:space="preserve">    1.满足行业使用的需求</w:t>
      </w:r>
    </w:p>
    <w:p>
      <w:pPr>
        <w:pStyle w:val="17"/>
        <w:numPr>
          <w:ilvl w:val="255"/>
          <w:numId w:val="0"/>
        </w:numPr>
        <w:spacing w:line="360" w:lineRule="auto"/>
        <w:jc w:val="both"/>
        <w:rPr>
          <w:rFonts w:asciiTheme="minorEastAsia" w:hAnsiTheme="minorEastAsia" w:eastAsiaTheme="minorEastAsia" w:cstheme="minorEastAsia"/>
          <w:kern w:val="2"/>
        </w:rPr>
      </w:pPr>
      <w:r>
        <w:rPr>
          <w:rFonts w:hint="eastAsia" w:asciiTheme="minorEastAsia" w:hAnsiTheme="minorEastAsia" w:eastAsiaTheme="minorEastAsia" w:cstheme="minorEastAsia"/>
          <w:kern w:val="2"/>
        </w:rPr>
        <w:t xml:space="preserve">    本标准明确了学术作品中使用生成式人工智能的原则，规定了标注与声明的总体要求、标注和声明的方法与格式，适用于学术作品的撰写和编辑出版工作，其他科研成果的撰写等可参照使用。</w:t>
      </w:r>
    </w:p>
    <w:p>
      <w:pPr>
        <w:pStyle w:val="17"/>
        <w:numPr>
          <w:ilvl w:val="255"/>
          <w:numId w:val="0"/>
        </w:numPr>
        <w:spacing w:line="360" w:lineRule="auto"/>
        <w:jc w:val="both"/>
        <w:outlineLvl w:val="2"/>
        <w:rPr>
          <w:rFonts w:asciiTheme="minorEastAsia" w:hAnsiTheme="minorEastAsia" w:eastAsiaTheme="minorEastAsia" w:cstheme="minorEastAsia"/>
          <w:kern w:val="2"/>
        </w:rPr>
      </w:pPr>
      <w:r>
        <w:rPr>
          <w:rFonts w:hint="eastAsia" w:asciiTheme="minorEastAsia" w:hAnsiTheme="minorEastAsia" w:eastAsiaTheme="minorEastAsia" w:cstheme="minorEastAsia"/>
          <w:kern w:val="2"/>
        </w:rPr>
        <w:t xml:space="preserve">    2.集思广益、深入研究</w:t>
      </w:r>
    </w:p>
    <w:p>
      <w:pPr>
        <w:pStyle w:val="17"/>
        <w:numPr>
          <w:ilvl w:val="255"/>
          <w:numId w:val="0"/>
        </w:numPr>
        <w:spacing w:line="360" w:lineRule="auto"/>
        <w:jc w:val="both"/>
        <w:rPr>
          <w:rFonts w:asciiTheme="minorEastAsia" w:hAnsiTheme="minorEastAsia" w:eastAsiaTheme="minorEastAsia" w:cstheme="minorEastAsia"/>
          <w:b/>
        </w:rPr>
      </w:pPr>
      <w:r>
        <w:rPr>
          <w:rFonts w:hint="eastAsia" w:asciiTheme="minorEastAsia" w:hAnsiTheme="minorEastAsia" w:eastAsiaTheme="minorEastAsia" w:cstheme="minorEastAsia"/>
          <w:kern w:val="2"/>
        </w:rPr>
        <w:t xml:space="preserve">    标准起草是系统性、规范化的工作，涉及多个环节，需要多方资源协调共进，多听取吸收行业主管部门和各个专业出版社、综合出版社、学术期刊社、生成式人工智能工具服务提供商、高校及科研院所的意见建议，尽可能囊括方方面面的问题，完善草案。</w:t>
      </w:r>
      <w:r>
        <w:rPr>
          <w:rFonts w:ascii="仿宋" w:hAnsi="仿宋" w:eastAsia="仿宋" w:cs="仿宋"/>
          <w:sz w:val="30"/>
          <w:szCs w:val="30"/>
        </w:rPr>
        <w:t xml:space="preserve"> </w:t>
      </w:r>
    </w:p>
    <w:p>
      <w:pPr>
        <w:pStyle w:val="4"/>
        <w:numPr>
          <w:ilvl w:val="255"/>
          <w:numId w:val="0"/>
        </w:numPr>
        <w:spacing w:line="360" w:lineRule="auto"/>
        <w:ind w:left="561"/>
        <w:outlineLvl w:val="1"/>
        <w:rPr>
          <w:rFonts w:asciiTheme="minorEastAsia" w:hAnsiTheme="minorEastAsia" w:eastAsiaTheme="minorEastAsia" w:cstheme="minorEastAsia"/>
          <w:b/>
        </w:rPr>
      </w:pPr>
      <w:r>
        <w:rPr>
          <w:rFonts w:hint="eastAsia" w:asciiTheme="minorEastAsia" w:hAnsiTheme="minorEastAsia" w:eastAsiaTheme="minorEastAsia" w:cstheme="minorEastAsia"/>
          <w:bCs/>
        </w:rPr>
        <w:t>（二）主要内容及其确定依据</w:t>
      </w:r>
    </w:p>
    <w:p>
      <w:pPr>
        <w:pStyle w:val="5"/>
        <w:spacing w:line="360" w:lineRule="auto"/>
        <w:ind w:left="0" w:firstLine="0" w:firstLineChars="0"/>
        <w:outlineLvl w:val="2"/>
        <w:rPr>
          <w:rFonts w:asciiTheme="minorEastAsia" w:hAnsiTheme="minorEastAsia" w:eastAsiaTheme="minorEastAsia" w:cstheme="minorEastAsia"/>
        </w:rPr>
      </w:pPr>
      <w:r>
        <w:rPr>
          <w:rFonts w:hint="eastAsia" w:asciiTheme="minorEastAsia" w:hAnsiTheme="minorEastAsia" w:eastAsiaTheme="minorEastAsia" w:cstheme="minorEastAsia"/>
        </w:rPr>
        <w:t xml:space="preserve">    1.范围</w:t>
      </w:r>
    </w:p>
    <w:p>
      <w:pPr>
        <w:pStyle w:val="19"/>
        <w:spacing w:line="360" w:lineRule="auto"/>
        <w:ind w:firstLine="480"/>
        <w:rPr>
          <w:rFonts w:asciiTheme="minorEastAsia" w:hAnsiTheme="minorEastAsia" w:cstheme="minorEastAsia"/>
          <w:sz w:val="24"/>
          <w:szCs w:val="24"/>
        </w:rPr>
      </w:pPr>
      <w:r>
        <w:rPr>
          <w:rFonts w:hint="eastAsia" w:asciiTheme="minorEastAsia" w:hAnsiTheme="minorEastAsia" w:cstheme="minorEastAsia"/>
          <w:sz w:val="24"/>
          <w:szCs w:val="24"/>
        </w:rPr>
        <w:t>本标准适用于学术作品的撰写和编辑出版工作，其他科研成果的撰写等可参照使用。</w:t>
      </w:r>
    </w:p>
    <w:p>
      <w:pPr>
        <w:pStyle w:val="17"/>
        <w:spacing w:line="360" w:lineRule="auto"/>
        <w:ind w:firstLine="480" w:firstLineChars="200"/>
        <w:jc w:val="both"/>
        <w:outlineLvl w:val="2"/>
        <w:rPr>
          <w:rFonts w:asciiTheme="minorEastAsia" w:hAnsiTheme="minorEastAsia" w:eastAsiaTheme="minorEastAsia" w:cstheme="minorEastAsia"/>
          <w:kern w:val="2"/>
        </w:rPr>
      </w:pPr>
      <w:r>
        <w:rPr>
          <w:rFonts w:hint="eastAsia" w:asciiTheme="minorEastAsia" w:hAnsiTheme="minorEastAsia" w:eastAsiaTheme="minorEastAsia" w:cstheme="minorEastAsia"/>
          <w:kern w:val="2"/>
        </w:rPr>
        <w:t xml:space="preserve">2.主要技术内容 </w:t>
      </w:r>
    </w:p>
    <w:p>
      <w:pPr>
        <w:pStyle w:val="17"/>
        <w:spacing w:line="360" w:lineRule="auto"/>
        <w:ind w:firstLine="480" w:firstLineChars="200"/>
        <w:jc w:val="both"/>
        <w:rPr>
          <w:rFonts w:asciiTheme="minorEastAsia" w:hAnsiTheme="minorEastAsia" w:eastAsiaTheme="minorEastAsia" w:cstheme="minorEastAsia"/>
          <w:kern w:val="2"/>
        </w:rPr>
      </w:pPr>
      <w:r>
        <w:rPr>
          <w:rFonts w:hint="eastAsia" w:asciiTheme="minorEastAsia" w:hAnsiTheme="minorEastAsia" w:eastAsiaTheme="minorEastAsia" w:cstheme="minorEastAsia"/>
          <w:kern w:val="2"/>
        </w:rPr>
        <w:t>本标准明确了学术作品中使用生成式人工智能的原则，规定了标注与声明的总体要求、标注和声明的方法与格式。</w:t>
      </w:r>
    </w:p>
    <w:p>
      <w:pPr>
        <w:pStyle w:val="17"/>
        <w:spacing w:line="360" w:lineRule="auto"/>
        <w:ind w:firstLine="480" w:firstLineChars="200"/>
        <w:jc w:val="both"/>
        <w:outlineLvl w:val="2"/>
        <w:rPr>
          <w:rFonts w:asciiTheme="minorEastAsia" w:hAnsiTheme="minorEastAsia" w:eastAsiaTheme="minorEastAsia" w:cstheme="minorEastAsia"/>
          <w:kern w:val="2"/>
        </w:rPr>
      </w:pPr>
      <w:r>
        <w:rPr>
          <w:rFonts w:hint="eastAsia" w:asciiTheme="minorEastAsia" w:hAnsiTheme="minorEastAsia" w:eastAsiaTheme="minorEastAsia" w:cstheme="minorEastAsia"/>
          <w:kern w:val="2"/>
        </w:rPr>
        <w:t xml:space="preserve">3.主要内容确定的依据 </w:t>
      </w:r>
    </w:p>
    <w:p>
      <w:pPr>
        <w:pStyle w:val="17"/>
        <w:spacing w:line="360" w:lineRule="auto"/>
        <w:ind w:firstLine="480" w:firstLineChars="200"/>
        <w:jc w:val="both"/>
        <w:rPr>
          <w:rFonts w:asciiTheme="minorEastAsia" w:hAnsiTheme="minorEastAsia" w:eastAsiaTheme="minorEastAsia" w:cstheme="minorEastAsia"/>
          <w:kern w:val="2"/>
        </w:rPr>
      </w:pPr>
      <w:r>
        <w:rPr>
          <w:rFonts w:hint="eastAsia" w:asciiTheme="minorEastAsia" w:hAnsiTheme="minorEastAsia" w:eastAsiaTheme="minorEastAsia" w:cstheme="minorEastAsia"/>
          <w:kern w:val="2"/>
        </w:rPr>
        <w:t>本标准的制定按照科学、实用的原则，为作者在学术作品中合规合理使用生成式人工智能的场景下，提供了标注与声明的方法和格式，以充分满足学术作品撰写严谨性与审核便捷高效的需求，为作者、出版者和查阅者提供便利。</w:t>
      </w:r>
    </w:p>
    <w:p>
      <w:pPr>
        <w:pStyle w:val="17"/>
        <w:spacing w:line="360" w:lineRule="auto"/>
        <w:ind w:firstLine="480" w:firstLineChars="200"/>
        <w:jc w:val="both"/>
        <w:rPr>
          <w:rFonts w:asciiTheme="minorEastAsia" w:hAnsiTheme="minorEastAsia" w:eastAsiaTheme="minorEastAsia" w:cstheme="minorEastAsia"/>
          <w:kern w:val="2"/>
        </w:rPr>
      </w:pPr>
      <w:r>
        <w:rPr>
          <w:rFonts w:hint="eastAsia" w:asciiTheme="minorEastAsia" w:hAnsiTheme="minorEastAsia" w:eastAsiaTheme="minorEastAsia" w:cstheme="minorEastAsia"/>
          <w:kern w:val="2"/>
        </w:rPr>
        <w:t xml:space="preserve">本标准的起草充分考虑了出版单位的诉求和未来的技术发展趋势，在此基础上确定了本文件的主要技术指标。 </w:t>
      </w:r>
    </w:p>
    <w:p>
      <w:pPr>
        <w:pStyle w:val="17"/>
        <w:numPr>
          <w:ilvl w:val="0"/>
          <w:numId w:val="5"/>
        </w:numPr>
        <w:spacing w:line="360" w:lineRule="auto"/>
        <w:ind w:firstLine="482" w:firstLineChars="200"/>
        <w:jc w:val="both"/>
        <w:outlineLvl w:val="0"/>
        <w:rPr>
          <w:rFonts w:asciiTheme="minorEastAsia" w:hAnsiTheme="minorEastAsia" w:eastAsiaTheme="minorEastAsia" w:cstheme="minorEastAsia"/>
          <w:b/>
          <w:bCs/>
          <w:kern w:val="2"/>
        </w:rPr>
      </w:pPr>
      <w:r>
        <w:rPr>
          <w:rFonts w:hint="eastAsia" w:asciiTheme="minorEastAsia" w:hAnsiTheme="minorEastAsia" w:eastAsiaTheme="minorEastAsia" w:cstheme="minorEastAsia"/>
          <w:b/>
          <w:bCs/>
        </w:rPr>
        <w:t>预期的经济效益、社会效益</w:t>
      </w:r>
    </w:p>
    <w:p>
      <w:pPr>
        <w:pStyle w:val="17"/>
        <w:numPr>
          <w:ilvl w:val="255"/>
          <w:numId w:val="0"/>
        </w:numPr>
        <w:spacing w:line="360" w:lineRule="auto"/>
        <w:ind w:firstLine="480" w:firstLineChars="200"/>
        <w:jc w:val="both"/>
        <w:rPr>
          <w:rFonts w:asciiTheme="minorEastAsia" w:hAnsiTheme="minorEastAsia" w:eastAsiaTheme="minorEastAsia" w:cstheme="minorEastAsia"/>
          <w:bCs/>
          <w:kern w:val="2"/>
        </w:rPr>
      </w:pPr>
      <w:r>
        <w:rPr>
          <w:rFonts w:hint="eastAsia" w:asciiTheme="minorEastAsia" w:hAnsiTheme="minorEastAsia" w:eastAsiaTheme="minorEastAsia" w:cstheme="minorEastAsia"/>
          <w:bCs/>
          <w:kern w:val="2"/>
        </w:rPr>
        <w:t>本标准的制定旨</w:t>
      </w:r>
      <w:r>
        <w:rPr>
          <w:rFonts w:hint="eastAsia" w:asciiTheme="minorEastAsia" w:hAnsiTheme="minorEastAsia" w:eastAsiaTheme="minorEastAsia" w:cstheme="minorEastAsia"/>
          <w:bCs/>
          <w:kern w:val="2"/>
          <w:lang w:eastAsia="zh-CN"/>
        </w:rPr>
        <w:t>，是</w:t>
      </w:r>
      <w:r>
        <w:rPr>
          <w:rFonts w:hint="eastAsia" w:asciiTheme="minorEastAsia" w:hAnsiTheme="minorEastAsia" w:eastAsiaTheme="minorEastAsia" w:cstheme="minorEastAsia"/>
          <w:bCs/>
          <w:kern w:val="2"/>
          <w:lang w:val="en-US" w:eastAsia="zh-CN"/>
        </w:rPr>
        <w:t>促进</w:t>
      </w:r>
      <w:r>
        <w:rPr>
          <w:rFonts w:hint="eastAsia" w:asciiTheme="minorEastAsia" w:hAnsiTheme="minorEastAsia" w:eastAsiaTheme="minorEastAsia" w:cstheme="minorEastAsia"/>
          <w:bCs/>
          <w:kern w:val="2"/>
        </w:rPr>
        <w:t>使用生成式人工智能工具在学术作品撰写过程中的规范化</w:t>
      </w:r>
      <w:r>
        <w:rPr>
          <w:rFonts w:hint="eastAsia" w:asciiTheme="minorEastAsia" w:hAnsiTheme="minorEastAsia" w:eastAsiaTheme="minorEastAsia" w:cstheme="minorEastAsia"/>
          <w:bCs/>
          <w:kern w:val="2"/>
          <w:lang w:val="en-US" w:eastAsia="zh-CN"/>
        </w:rPr>
        <w:t>使用</w:t>
      </w:r>
      <w:r>
        <w:rPr>
          <w:rFonts w:hint="eastAsia" w:asciiTheme="minorEastAsia" w:hAnsiTheme="minorEastAsia" w:eastAsiaTheme="minorEastAsia" w:cstheme="minorEastAsia"/>
          <w:bCs/>
          <w:kern w:val="2"/>
        </w:rPr>
        <w:t>，为相关从业人员提供参考，减少使用</w:t>
      </w:r>
      <w:r>
        <w:rPr>
          <w:rFonts w:hint="eastAsia" w:asciiTheme="minorEastAsia" w:hAnsiTheme="minorEastAsia" w:eastAsiaTheme="minorEastAsia" w:cstheme="minorEastAsia"/>
          <w:bCs/>
          <w:kern w:val="2"/>
          <w:lang w:val="en-US" w:eastAsia="zh-CN"/>
        </w:rPr>
        <w:t>风险</w:t>
      </w:r>
      <w:r>
        <w:rPr>
          <w:rFonts w:hint="eastAsia" w:asciiTheme="minorEastAsia" w:hAnsiTheme="minorEastAsia" w:eastAsiaTheme="minorEastAsia" w:cstheme="minorEastAsia"/>
          <w:bCs/>
          <w:kern w:val="2"/>
        </w:rPr>
        <w:t>，提升学术出版水平，从而提质增效。同时，本标准的制定有利于保障所出版学术作品的权威性与准确性。</w:t>
      </w:r>
    </w:p>
    <w:p>
      <w:pPr>
        <w:pStyle w:val="17"/>
        <w:numPr>
          <w:ilvl w:val="0"/>
          <w:numId w:val="5"/>
        </w:numPr>
        <w:spacing w:line="360" w:lineRule="auto"/>
        <w:ind w:firstLine="482" w:firstLineChars="200"/>
        <w:jc w:val="both"/>
        <w:rPr>
          <w:rFonts w:asciiTheme="minorEastAsia" w:hAnsiTheme="minorEastAsia" w:eastAsiaTheme="minorEastAsia" w:cstheme="minorEastAsia"/>
          <w:b/>
          <w:bCs/>
          <w:kern w:val="2"/>
        </w:rPr>
      </w:pPr>
      <w:r>
        <w:rPr>
          <w:rFonts w:ascii="宋体" w:hAnsi="宋体" w:eastAsia="宋体" w:cs="宋体"/>
          <w:b/>
        </w:rPr>
        <w:t xml:space="preserve">采用国际标准和国外先进标准的程度，以及与国外同类标准水平的对比情况，或与测试 的国外样品、样机的有关数据对比情况 </w:t>
      </w:r>
    </w:p>
    <w:p>
      <w:pPr>
        <w:pStyle w:val="17"/>
        <w:numPr>
          <w:ilvl w:val="255"/>
          <w:numId w:val="0"/>
        </w:numPr>
        <w:spacing w:line="360" w:lineRule="auto"/>
        <w:ind w:firstLine="480"/>
        <w:jc w:val="both"/>
        <w:rPr>
          <w:rFonts w:ascii="宋体" w:hAnsi="宋体" w:eastAsia="宋体" w:cs="宋体"/>
        </w:rPr>
      </w:pPr>
      <w:r>
        <w:rPr>
          <w:rFonts w:ascii="宋体" w:hAnsi="宋体" w:eastAsia="宋体" w:cs="宋体"/>
        </w:rPr>
        <w:t>（一）采用国际标准和国外先进标准的程度</w:t>
      </w:r>
    </w:p>
    <w:p>
      <w:pPr>
        <w:pStyle w:val="17"/>
        <w:numPr>
          <w:ilvl w:val="255"/>
          <w:numId w:val="0"/>
        </w:numPr>
        <w:spacing w:line="360" w:lineRule="auto"/>
        <w:ind w:firstLine="480"/>
        <w:jc w:val="both"/>
        <w:rPr>
          <w:rFonts w:asciiTheme="minorEastAsia" w:hAnsiTheme="minorEastAsia" w:eastAsiaTheme="minorEastAsia" w:cstheme="minorEastAsia"/>
          <w:b/>
          <w:bCs/>
          <w:kern w:val="2"/>
          <w:highlight w:val="yellow"/>
        </w:rPr>
      </w:pPr>
      <w:r>
        <w:rPr>
          <w:rFonts w:ascii="宋体" w:hAnsi="宋体" w:eastAsia="宋体" w:cs="宋体"/>
        </w:rPr>
        <w:t xml:space="preserve">未采用同类国际标准和国外先进标准。 </w:t>
      </w:r>
    </w:p>
    <w:p>
      <w:pPr>
        <w:pStyle w:val="17"/>
        <w:numPr>
          <w:ilvl w:val="255"/>
          <w:numId w:val="0"/>
        </w:numPr>
        <w:spacing w:line="360" w:lineRule="auto"/>
        <w:jc w:val="both"/>
        <w:rPr>
          <w:rFonts w:asciiTheme="minorEastAsia" w:hAnsiTheme="minorEastAsia" w:eastAsiaTheme="minorEastAsia" w:cstheme="minorEastAsia"/>
          <w:b/>
          <w:bCs/>
          <w:kern w:val="2"/>
        </w:rPr>
      </w:pPr>
      <w:r>
        <w:rPr>
          <w:rFonts w:hint="eastAsia" w:ascii="宋体" w:hAnsi="宋体" w:eastAsia="宋体" w:cs="宋体"/>
        </w:rPr>
        <w:t xml:space="preserve">    </w:t>
      </w:r>
      <w:r>
        <w:rPr>
          <w:rFonts w:ascii="宋体" w:hAnsi="宋体" w:eastAsia="宋体" w:cs="宋体"/>
        </w:rPr>
        <w:t xml:space="preserve">（二）与国外同类标准水平的对比情况 </w:t>
      </w:r>
    </w:p>
    <w:p>
      <w:pPr>
        <w:pStyle w:val="17"/>
        <w:numPr>
          <w:ilvl w:val="255"/>
          <w:numId w:val="0"/>
        </w:numPr>
        <w:spacing w:line="360" w:lineRule="auto"/>
        <w:ind w:firstLine="480"/>
        <w:jc w:val="both"/>
        <w:rPr>
          <w:rFonts w:ascii="宋体" w:hAnsi="宋体" w:eastAsia="宋体" w:cs="宋体"/>
        </w:rPr>
      </w:pPr>
      <w:r>
        <w:rPr>
          <w:rFonts w:ascii="宋体" w:hAnsi="宋体" w:eastAsia="宋体" w:cs="宋体"/>
        </w:rPr>
        <w:t>无</w:t>
      </w:r>
      <w:r>
        <w:rPr>
          <w:rFonts w:hint="eastAsia" w:ascii="宋体" w:hAnsi="宋体" w:eastAsia="宋体" w:cs="宋体"/>
        </w:rPr>
        <w:t>。</w:t>
      </w:r>
    </w:p>
    <w:p>
      <w:pPr>
        <w:pStyle w:val="4"/>
        <w:numPr>
          <w:ilvl w:val="255"/>
          <w:numId w:val="0"/>
        </w:numPr>
        <w:spacing w:line="360" w:lineRule="auto"/>
        <w:outlineLvl w:val="0"/>
        <w:rPr>
          <w:rFonts w:asciiTheme="minorEastAsia" w:hAnsiTheme="minorEastAsia" w:eastAsiaTheme="minorEastAsia" w:cstheme="minorEastAsia"/>
          <w:b/>
        </w:rPr>
      </w:pPr>
      <w:r>
        <w:rPr>
          <w:rFonts w:hint="eastAsia" w:asciiTheme="minorEastAsia" w:hAnsiTheme="minorEastAsia" w:eastAsiaTheme="minorEastAsia" w:cstheme="minorEastAsia"/>
          <w:b/>
        </w:rPr>
        <w:t xml:space="preserve">    五、以国际标准为基础的起草情况，合规引用或者采用国际国外标准情况，未采用国际标准的原因</w:t>
      </w:r>
    </w:p>
    <w:p>
      <w:pPr>
        <w:pStyle w:val="5"/>
        <w:numPr>
          <w:ilvl w:val="0"/>
          <w:numId w:val="6"/>
        </w:numPr>
        <w:spacing w:line="360" w:lineRule="auto"/>
        <w:ind w:firstLineChars="0"/>
        <w:outlineLvl w:val="1"/>
        <w:rPr>
          <w:rFonts w:asciiTheme="minorEastAsia" w:hAnsiTheme="minorEastAsia" w:eastAsiaTheme="minorEastAsia" w:cstheme="minorEastAsia"/>
        </w:rPr>
      </w:pPr>
      <w:r>
        <w:rPr>
          <w:rFonts w:hint="eastAsia" w:asciiTheme="minorEastAsia" w:hAnsiTheme="minorEastAsia" w:eastAsiaTheme="minorEastAsia" w:cstheme="minorEastAsia"/>
        </w:rPr>
        <w:t>以国际标准为基础的起草情况</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未见已发布的国际标准。</w:t>
      </w:r>
    </w:p>
    <w:p>
      <w:pPr>
        <w:pStyle w:val="5"/>
        <w:numPr>
          <w:ilvl w:val="0"/>
          <w:numId w:val="6"/>
        </w:numPr>
        <w:spacing w:line="360" w:lineRule="auto"/>
        <w:ind w:firstLineChars="0"/>
        <w:outlineLvl w:val="1"/>
        <w:rPr>
          <w:rFonts w:asciiTheme="minorEastAsia" w:hAnsiTheme="minorEastAsia" w:eastAsiaTheme="minorEastAsia" w:cstheme="minorEastAsia"/>
        </w:rPr>
      </w:pPr>
      <w:r>
        <w:rPr>
          <w:rFonts w:hint="eastAsia" w:asciiTheme="minorEastAsia" w:hAnsiTheme="minorEastAsia" w:eastAsiaTheme="minorEastAsia" w:cstheme="minorEastAsia"/>
        </w:rPr>
        <w:t>合规引用或者采用国际国外标准情况</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无。</w:t>
      </w:r>
    </w:p>
    <w:p>
      <w:pPr>
        <w:pStyle w:val="5"/>
        <w:numPr>
          <w:ilvl w:val="0"/>
          <w:numId w:val="6"/>
        </w:numPr>
        <w:spacing w:line="360" w:lineRule="auto"/>
        <w:ind w:firstLineChars="0"/>
        <w:outlineLvl w:val="1"/>
        <w:rPr>
          <w:rFonts w:asciiTheme="minorEastAsia" w:hAnsiTheme="minorEastAsia" w:eastAsiaTheme="minorEastAsia" w:cstheme="minorEastAsia"/>
        </w:rPr>
      </w:pPr>
      <w:r>
        <w:rPr>
          <w:rFonts w:hint="eastAsia" w:asciiTheme="minorEastAsia" w:hAnsiTheme="minorEastAsia" w:eastAsiaTheme="minorEastAsia" w:cstheme="minorEastAsia"/>
        </w:rPr>
        <w:t>未采用国际标准的原因</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没有相应的国际标准。</w:t>
      </w:r>
    </w:p>
    <w:p>
      <w:pPr>
        <w:pStyle w:val="5"/>
        <w:spacing w:line="360" w:lineRule="auto"/>
        <w:ind w:left="0" w:firstLine="0" w:firstLineChars="0"/>
        <w:outlineLvl w:val="0"/>
        <w:rPr>
          <w:rFonts w:asciiTheme="minorEastAsia" w:hAnsiTheme="minorEastAsia" w:eastAsiaTheme="minorEastAsia" w:cstheme="minorEastAsia"/>
          <w:b/>
        </w:rPr>
      </w:pPr>
      <w:r>
        <w:rPr>
          <w:rFonts w:hint="eastAsia" w:asciiTheme="minorEastAsia" w:hAnsiTheme="minorEastAsia" w:eastAsiaTheme="minorEastAsia" w:cstheme="minorEastAsia"/>
          <w:b/>
        </w:rPr>
        <w:t xml:space="preserve">    六、与有关的现行法律、法规和强制性标准的关系</w:t>
      </w:r>
    </w:p>
    <w:p>
      <w:pPr>
        <w:pStyle w:val="17"/>
        <w:spacing w:line="360" w:lineRule="auto"/>
        <w:ind w:firstLine="480" w:firstLineChars="200"/>
        <w:jc w:val="both"/>
        <w:rPr>
          <w:rFonts w:asciiTheme="minorEastAsia" w:hAnsiTheme="minorEastAsia" w:eastAsiaTheme="minorEastAsia" w:cstheme="minorEastAsia"/>
          <w:kern w:val="2"/>
        </w:rPr>
      </w:pPr>
      <w:r>
        <w:rPr>
          <w:rFonts w:hint="eastAsia" w:asciiTheme="minorEastAsia" w:hAnsiTheme="minorEastAsia" w:eastAsiaTheme="minorEastAsia" w:cstheme="minorEastAsia"/>
          <w:kern w:val="2"/>
        </w:rPr>
        <w:t>本标准依据法律、法规的规定制定，并保证不与法律、法规相违背。本标准在制定过程中参考了下列标准：</w:t>
      </w:r>
    </w:p>
    <w:p>
      <w:pPr>
        <w:pStyle w:val="17"/>
        <w:spacing w:line="360" w:lineRule="auto"/>
        <w:ind w:firstLine="480" w:firstLineChars="200"/>
        <w:jc w:val="both"/>
        <w:rPr>
          <w:rFonts w:asciiTheme="minorEastAsia" w:hAnsiTheme="minorEastAsia" w:eastAsiaTheme="minorEastAsia" w:cstheme="minorEastAsia"/>
          <w:kern w:val="2"/>
        </w:rPr>
      </w:pPr>
      <w:r>
        <w:rPr>
          <w:rFonts w:hint="eastAsia" w:asciiTheme="minorEastAsia" w:hAnsiTheme="minorEastAsia" w:eastAsiaTheme="minorEastAsia" w:cstheme="minorEastAsia"/>
          <w:kern w:val="2"/>
        </w:rPr>
        <w:t>CY/T 121-2015 学术出版规范 注释</w:t>
      </w:r>
    </w:p>
    <w:p>
      <w:pPr>
        <w:pStyle w:val="17"/>
        <w:spacing w:line="360" w:lineRule="auto"/>
        <w:ind w:firstLine="480" w:firstLineChars="200"/>
        <w:jc w:val="both"/>
        <w:rPr>
          <w:rFonts w:asciiTheme="minorEastAsia" w:hAnsiTheme="minorEastAsia" w:eastAsiaTheme="minorEastAsia" w:cstheme="minorEastAsia"/>
          <w:kern w:val="2"/>
        </w:rPr>
      </w:pPr>
      <w:r>
        <w:rPr>
          <w:rFonts w:hint="eastAsia" w:asciiTheme="minorEastAsia" w:hAnsiTheme="minorEastAsia" w:eastAsiaTheme="minorEastAsia" w:cstheme="minorEastAsia"/>
          <w:kern w:val="2"/>
        </w:rPr>
        <w:t>GB/T 7408.1-2023 日期和时间　信息交换表示法　第1部分：基本原则</w:t>
      </w:r>
    </w:p>
    <w:p>
      <w:pPr>
        <w:pStyle w:val="5"/>
        <w:spacing w:line="360" w:lineRule="auto"/>
        <w:ind w:left="482" w:firstLine="0" w:firstLineChars="0"/>
        <w:outlineLvl w:val="0"/>
        <w:rPr>
          <w:rFonts w:asciiTheme="minorEastAsia" w:hAnsiTheme="minorEastAsia" w:eastAsiaTheme="minorEastAsia" w:cstheme="minorEastAsia"/>
          <w:b/>
        </w:rPr>
      </w:pPr>
      <w:r>
        <w:rPr>
          <w:rFonts w:hint="eastAsia" w:asciiTheme="minorEastAsia" w:hAnsiTheme="minorEastAsia" w:eastAsiaTheme="minorEastAsia" w:cstheme="minorEastAsia"/>
          <w:b/>
        </w:rPr>
        <w:t>七、重大分歧意见的处理经过和依据</w:t>
      </w:r>
    </w:p>
    <w:p>
      <w:pPr>
        <w:pStyle w:val="5"/>
        <w:spacing w:line="360" w:lineRule="auto"/>
        <w:ind w:firstLine="0" w:firstLineChars="0"/>
        <w:rPr>
          <w:rFonts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 xml:space="preserve">   无重大意见分歧。 </w:t>
      </w:r>
    </w:p>
    <w:p>
      <w:pPr>
        <w:pStyle w:val="4"/>
        <w:numPr>
          <w:ilvl w:val="255"/>
          <w:numId w:val="0"/>
        </w:numPr>
        <w:spacing w:line="360" w:lineRule="auto"/>
        <w:ind w:left="561"/>
        <w:outlineLvl w:val="0"/>
        <w:rPr>
          <w:rFonts w:asciiTheme="minorEastAsia" w:hAnsiTheme="minorEastAsia" w:eastAsiaTheme="minorEastAsia" w:cstheme="minorEastAsia"/>
          <w:b/>
        </w:rPr>
      </w:pPr>
      <w:r>
        <w:rPr>
          <w:rFonts w:hint="eastAsia" w:asciiTheme="minorEastAsia" w:hAnsiTheme="minorEastAsia" w:eastAsiaTheme="minorEastAsia" w:cstheme="minorEastAsia"/>
          <w:b/>
        </w:rPr>
        <w:t>八、涉及专利的有关说明</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   本标准不涉及专利。</w:t>
      </w:r>
    </w:p>
    <w:p>
      <w:pPr>
        <w:pStyle w:val="5"/>
        <w:numPr>
          <w:ilvl w:val="0"/>
          <w:numId w:val="7"/>
        </w:numPr>
        <w:spacing w:line="360" w:lineRule="auto"/>
        <w:ind w:firstLine="0" w:firstLineChars="0"/>
        <w:outlineLvl w:val="0"/>
        <w:rPr>
          <w:rFonts w:asciiTheme="minorEastAsia" w:hAnsiTheme="minorEastAsia" w:eastAsiaTheme="minorEastAsia" w:cstheme="minorEastAsia"/>
          <w:b/>
        </w:rPr>
      </w:pPr>
      <w:r>
        <w:rPr>
          <w:rFonts w:hint="eastAsia" w:asciiTheme="minorEastAsia" w:hAnsiTheme="minorEastAsia" w:eastAsiaTheme="minorEastAsia" w:cstheme="minorEastAsia"/>
          <w:b/>
        </w:rPr>
        <w:t>实施标准的要求，以及组织措施、技术措施、过渡期和实施日期的建议等措施建议</w:t>
      </w:r>
    </w:p>
    <w:p>
      <w:pPr>
        <w:pStyle w:val="5"/>
        <w:numPr>
          <w:ilvl w:val="0"/>
          <w:numId w:val="8"/>
        </w:numPr>
        <w:spacing w:line="360" w:lineRule="auto"/>
        <w:ind w:firstLineChars="0"/>
        <w:outlineLvl w:val="1"/>
        <w:rPr>
          <w:rFonts w:asciiTheme="minorEastAsia" w:hAnsiTheme="minorEastAsia" w:eastAsiaTheme="minorEastAsia" w:cstheme="minorEastAsia"/>
        </w:rPr>
      </w:pPr>
      <w:r>
        <w:rPr>
          <w:rFonts w:hint="eastAsia" w:asciiTheme="minorEastAsia" w:hAnsiTheme="minorEastAsia" w:eastAsiaTheme="minorEastAsia" w:cstheme="minorEastAsia"/>
        </w:rPr>
        <w:t>实施标准的要求</w:t>
      </w:r>
    </w:p>
    <w:p>
      <w:pPr>
        <w:adjustRightInd w:val="0"/>
        <w:snapToGrid w:val="0"/>
        <w:spacing w:line="360" w:lineRule="auto"/>
        <w:ind w:firstLine="480" w:firstLineChars="200"/>
        <w:rPr>
          <w:rFonts w:ascii="黑体" w:eastAsia="黑体"/>
          <w:kern w:val="0"/>
          <w:sz w:val="24"/>
        </w:rPr>
      </w:pPr>
      <w:r>
        <w:rPr>
          <w:rFonts w:hint="eastAsia"/>
          <w:sz w:val="24"/>
        </w:rPr>
        <w:t>建议本标准作为推荐性新闻出版行业标准发布。</w:t>
      </w:r>
    </w:p>
    <w:p>
      <w:pPr>
        <w:pStyle w:val="5"/>
        <w:numPr>
          <w:ilvl w:val="0"/>
          <w:numId w:val="8"/>
        </w:numPr>
        <w:spacing w:line="360" w:lineRule="auto"/>
        <w:ind w:firstLineChars="0"/>
        <w:outlineLvl w:val="1"/>
        <w:rPr>
          <w:rFonts w:asciiTheme="minorEastAsia" w:hAnsiTheme="minorEastAsia" w:eastAsiaTheme="minorEastAsia" w:cstheme="minorEastAsia"/>
        </w:rPr>
      </w:pPr>
      <w:r>
        <w:rPr>
          <w:rFonts w:hint="eastAsia" w:asciiTheme="minorEastAsia" w:hAnsiTheme="minorEastAsia" w:eastAsiaTheme="minorEastAsia" w:cstheme="minorEastAsia"/>
        </w:rPr>
        <w:t>组织措施和技术措施</w:t>
      </w:r>
    </w:p>
    <w:p>
      <w:pPr>
        <w:adjustRightInd w:val="0"/>
        <w:snapToGrid w:val="0"/>
        <w:spacing w:line="360" w:lineRule="auto"/>
        <w:ind w:firstLine="480" w:firstLineChars="200"/>
        <w:rPr>
          <w:rFonts w:ascii="黑体" w:eastAsia="黑体"/>
          <w:kern w:val="0"/>
          <w:sz w:val="24"/>
        </w:rPr>
      </w:pPr>
      <w:r>
        <w:rPr>
          <w:rFonts w:hint="eastAsia" w:ascii="宋体" w:hAnsi="宋体" w:cs="宋体"/>
          <w:sz w:val="24"/>
        </w:rPr>
        <w:t>配合标准发布组织标准宣贯，编写“标准解读”或录制标准宣贯视频。详细解说标准形成的过程、条款制定的理由和标准条文内容，帮助标准使用者更好地理解标准、执行标准。总结标准经验，深入研究标准的应用，及时跟进标准应用中的问题，不断提高标准的有效性。</w:t>
      </w:r>
    </w:p>
    <w:p>
      <w:pPr>
        <w:pStyle w:val="5"/>
        <w:numPr>
          <w:ilvl w:val="0"/>
          <w:numId w:val="8"/>
        </w:numPr>
        <w:spacing w:line="360" w:lineRule="auto"/>
        <w:ind w:firstLineChars="0"/>
        <w:outlineLvl w:val="1"/>
        <w:rPr>
          <w:rFonts w:asciiTheme="minorEastAsia" w:hAnsiTheme="minorEastAsia" w:eastAsiaTheme="minorEastAsia" w:cstheme="minorEastAsia"/>
        </w:rPr>
      </w:pPr>
      <w:r>
        <w:rPr>
          <w:rFonts w:hint="eastAsia" w:asciiTheme="minorEastAsia" w:hAnsiTheme="minorEastAsia" w:eastAsiaTheme="minorEastAsia" w:cstheme="minorEastAsia"/>
        </w:rPr>
        <w:t>过渡期和实施日期建议</w:t>
      </w:r>
    </w:p>
    <w:p>
      <w:pPr>
        <w:pStyle w:val="5"/>
        <w:spacing w:line="360" w:lineRule="auto"/>
        <w:ind w:firstLine="0" w:firstLineChars="0"/>
        <w:rPr>
          <w:rFonts w:asciiTheme="minorEastAsia" w:hAnsiTheme="minorEastAsia" w:eastAsiaTheme="minorEastAsia" w:cstheme="minorEastAsia"/>
          <w:color w:val="000000"/>
        </w:rPr>
      </w:pPr>
      <w:r>
        <w:rPr>
          <w:rFonts w:hint="eastAsia" w:ascii="宋体" w:hAnsi="宋体" w:cs="宋体"/>
        </w:rPr>
        <w:t>建议本标准发布的过渡和实施期3个月。</w:t>
      </w:r>
    </w:p>
    <w:p>
      <w:pPr>
        <w:pStyle w:val="5"/>
        <w:spacing w:line="360" w:lineRule="auto"/>
        <w:ind w:left="482" w:firstLine="0" w:firstLineChars="0"/>
        <w:outlineLvl w:val="0"/>
        <w:rPr>
          <w:rFonts w:asciiTheme="minorEastAsia" w:hAnsiTheme="minorEastAsia" w:eastAsiaTheme="minorEastAsia" w:cstheme="minorEastAsia"/>
          <w:b/>
        </w:rPr>
      </w:pPr>
      <w:r>
        <w:rPr>
          <w:rFonts w:hint="eastAsia" w:asciiTheme="minorEastAsia" w:hAnsiTheme="minorEastAsia" w:eastAsiaTheme="minorEastAsia" w:cstheme="minorEastAsia"/>
          <w:b/>
        </w:rPr>
        <w:t>十、其他应当说明的事项</w:t>
      </w:r>
    </w:p>
    <w:p>
      <w:pPr>
        <w:pStyle w:val="5"/>
        <w:spacing w:line="360" w:lineRule="auto"/>
        <w:ind w:firstLine="0" w:firstLineChars="0"/>
        <w:rPr>
          <w:rFonts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无。</w:t>
      </w:r>
    </w:p>
    <w:p>
      <w:pPr>
        <w:pStyle w:val="5"/>
        <w:spacing w:line="360" w:lineRule="auto"/>
        <w:ind w:left="482" w:firstLine="0" w:firstLineChars="0"/>
        <w:rPr>
          <w:rFonts w:asciiTheme="minorEastAsia" w:hAnsiTheme="minorEastAsia" w:eastAsiaTheme="minorEastAsia" w:cstheme="minorEastAsia"/>
          <w:color w:val="000000"/>
          <w:highlight w:val="yellow"/>
        </w:rPr>
      </w:pPr>
    </w:p>
    <w:p>
      <w:pPr>
        <w:pStyle w:val="4"/>
        <w:spacing w:line="360" w:lineRule="auto"/>
        <w:jc w:val="right"/>
        <w:rPr>
          <w:szCs w:val="28"/>
        </w:rPr>
      </w:pPr>
    </w:p>
    <w:p>
      <w:pPr>
        <w:pStyle w:val="4"/>
        <w:spacing w:line="360" w:lineRule="auto"/>
        <w:jc w:val="right"/>
        <w:rPr>
          <w:szCs w:val="28"/>
        </w:rPr>
      </w:pPr>
    </w:p>
    <w:p>
      <w:pPr>
        <w:pStyle w:val="4"/>
        <w:spacing w:line="360" w:lineRule="auto"/>
        <w:jc w:val="right"/>
        <w:rPr>
          <w:rFonts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《学术出版规范 使用生成式人工智能的标注与声明》标准起草组</w:t>
      </w:r>
    </w:p>
    <w:p>
      <w:pPr>
        <w:pStyle w:val="4"/>
        <w:wordWrap w:val="0"/>
        <w:spacing w:line="360" w:lineRule="auto"/>
        <w:jc w:val="right"/>
        <w:rPr>
          <w:rFonts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 xml:space="preserve">2025年11月 </w:t>
      </w:r>
    </w:p>
    <w:p>
      <w:pPr>
        <w:pStyle w:val="5"/>
        <w:spacing w:line="360" w:lineRule="auto"/>
        <w:ind w:left="482" w:firstLine="0" w:firstLineChars="0"/>
        <w:rPr>
          <w:rFonts w:asciiTheme="minorEastAsia" w:hAnsiTheme="minorEastAsia" w:eastAsiaTheme="minorEastAsia" w:cstheme="minorEastAsia"/>
          <w:b/>
        </w:rPr>
      </w:pPr>
    </w:p>
    <w:sectPr>
      <w:headerReference r:id="rId3" w:type="default"/>
      <w:type w:val="continuous"/>
      <w:pgSz w:w="11909" w:h="16834"/>
      <w:pgMar w:top="1440" w:right="1800" w:bottom="1440" w:left="1800" w:header="907" w:footer="907" w:gutter="0"/>
      <w:cols w:space="425"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9A9A7C5-215C-4311-97E4-37CEC806727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embedRegular r:id="rId2" w:fontKey="{9D2C0EE7-4170-470D-8880-E06E7A80AFA8}"/>
  </w:font>
  <w:font w:name="微软雅黑">
    <w:panose1 w:val="020B0503020204020204"/>
    <w:charset w:val="86"/>
    <w:family w:val="swiss"/>
    <w:pitch w:val="default"/>
    <w:sig w:usb0="80000287" w:usb1="280F3C52" w:usb2="00000016" w:usb3="00000000" w:csb0="0004001F" w:csb1="00000000"/>
  </w:font>
  <w:font w:name="Hiragino Sans GB">
    <w:altName w:val="Segoe Print"/>
    <w:panose1 w:val="00000000000000000000"/>
    <w:charset w:val="00"/>
    <w:family w:val="auto"/>
    <w:pitch w:val="default"/>
    <w:sig w:usb0="00000000" w:usb1="00000000" w:usb2="00000000" w:usb3="00000000" w:csb0="00040001" w:csb1="00000000"/>
  </w:font>
  <w:font w:name="AdobeHeitiStd-Regular">
    <w:altName w:val="宋体"/>
    <w:panose1 w:val="00000000000000000000"/>
    <w:charset w:val="86"/>
    <w:family w:val="auto"/>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Wingdings">
    <w:panose1 w:val="05000000000000000000"/>
    <w:charset w:val="00"/>
    <w:family w:val="auto"/>
    <w:pitch w:val="default"/>
    <w:sig w:usb0="00000000" w:usb1="00000000" w:usb2="00000000" w:usb3="00000000" w:csb0="80000000"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AFF" w:usb1="C0007843" w:usb2="00000009" w:usb3="00000000" w:csb0="400001FF" w:csb1="FFFF0000"/>
  </w:font>
  <w:font w:name="方正小标宋简体">
    <w:panose1 w:val="02000000000000000000"/>
    <w:charset w:val="86"/>
    <w:family w:val="auto"/>
    <w:pitch w:val="default"/>
    <w:sig w:usb0="A00002BF" w:usb1="184F6CFA" w:usb2="00000012" w:usb3="00000000" w:csb0="00040001" w:csb1="00000000"/>
    <w:embedRegular r:id="rId3" w:fontKey="{86056ED4-867A-4ABC-950B-D24F2D7E1E63}"/>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C05FC8"/>
    <w:multiLevelType w:val="singleLevel"/>
    <w:tmpl w:val="DBC05FC8"/>
    <w:lvl w:ilvl="0" w:tentative="0">
      <w:start w:val="2"/>
      <w:numFmt w:val="chineseCounting"/>
      <w:suff w:val="nothing"/>
      <w:lvlText w:val="（%1）"/>
      <w:lvlJc w:val="left"/>
      <w:pPr>
        <w:ind w:left="360" w:firstLine="0"/>
      </w:pPr>
      <w:rPr>
        <w:rFonts w:hint="eastAsia"/>
      </w:rPr>
    </w:lvl>
  </w:abstractNum>
  <w:abstractNum w:abstractNumId="1">
    <w:nsid w:val="2F64498C"/>
    <w:multiLevelType w:val="multilevel"/>
    <w:tmpl w:val="2F64498C"/>
    <w:lvl w:ilvl="0" w:tentative="0">
      <w:start w:val="1"/>
      <w:numFmt w:val="japaneseCounting"/>
      <w:lvlText w:val="（%1）"/>
      <w:lvlJc w:val="left"/>
      <w:pPr>
        <w:ind w:left="1416" w:hanging="855"/>
      </w:pPr>
      <w:rPr>
        <w:rFonts w:hint="default"/>
      </w:rPr>
    </w:lvl>
    <w:lvl w:ilvl="1" w:tentative="0">
      <w:start w:val="1"/>
      <w:numFmt w:val="lowerLetter"/>
      <w:lvlText w:val="%2)"/>
      <w:lvlJc w:val="left"/>
      <w:pPr>
        <w:ind w:left="1401" w:hanging="420"/>
      </w:pPr>
    </w:lvl>
    <w:lvl w:ilvl="2" w:tentative="0">
      <w:start w:val="1"/>
      <w:numFmt w:val="lowerRoman"/>
      <w:lvlText w:val="%3."/>
      <w:lvlJc w:val="right"/>
      <w:pPr>
        <w:ind w:left="1821" w:hanging="420"/>
      </w:pPr>
    </w:lvl>
    <w:lvl w:ilvl="3" w:tentative="0">
      <w:start w:val="1"/>
      <w:numFmt w:val="decimal"/>
      <w:lvlText w:val="%4."/>
      <w:lvlJc w:val="left"/>
      <w:pPr>
        <w:ind w:left="2241" w:hanging="420"/>
      </w:pPr>
    </w:lvl>
    <w:lvl w:ilvl="4" w:tentative="0">
      <w:start w:val="1"/>
      <w:numFmt w:val="lowerLetter"/>
      <w:lvlText w:val="%5)"/>
      <w:lvlJc w:val="left"/>
      <w:pPr>
        <w:ind w:left="2661" w:hanging="420"/>
      </w:pPr>
    </w:lvl>
    <w:lvl w:ilvl="5" w:tentative="0">
      <w:start w:val="1"/>
      <w:numFmt w:val="lowerRoman"/>
      <w:lvlText w:val="%6."/>
      <w:lvlJc w:val="right"/>
      <w:pPr>
        <w:ind w:left="3081" w:hanging="420"/>
      </w:pPr>
    </w:lvl>
    <w:lvl w:ilvl="6" w:tentative="0">
      <w:start w:val="1"/>
      <w:numFmt w:val="decimal"/>
      <w:lvlText w:val="%7."/>
      <w:lvlJc w:val="left"/>
      <w:pPr>
        <w:ind w:left="3501" w:hanging="420"/>
      </w:pPr>
    </w:lvl>
    <w:lvl w:ilvl="7" w:tentative="0">
      <w:start w:val="1"/>
      <w:numFmt w:val="lowerLetter"/>
      <w:lvlText w:val="%8)"/>
      <w:lvlJc w:val="left"/>
      <w:pPr>
        <w:ind w:left="3921" w:hanging="420"/>
      </w:pPr>
    </w:lvl>
    <w:lvl w:ilvl="8" w:tentative="0">
      <w:start w:val="1"/>
      <w:numFmt w:val="lowerRoman"/>
      <w:lvlText w:val="%9."/>
      <w:lvlJc w:val="right"/>
      <w:pPr>
        <w:ind w:left="4341" w:hanging="420"/>
      </w:pPr>
    </w:lvl>
  </w:abstractNum>
  <w:abstractNum w:abstractNumId="2">
    <w:nsid w:val="3F1D097D"/>
    <w:multiLevelType w:val="multilevel"/>
    <w:tmpl w:val="3F1D097D"/>
    <w:lvl w:ilvl="0" w:tentative="0">
      <w:start w:val="1"/>
      <w:numFmt w:val="japaneseCounting"/>
      <w:lvlText w:val="%1、"/>
      <w:lvlJc w:val="left"/>
      <w:pPr>
        <w:ind w:left="1281" w:hanging="720"/>
      </w:pPr>
      <w:rPr>
        <w:rFonts w:hint="default"/>
      </w:rPr>
    </w:lvl>
    <w:lvl w:ilvl="1" w:tentative="0">
      <w:start w:val="1"/>
      <w:numFmt w:val="lowerLetter"/>
      <w:lvlText w:val="%2)"/>
      <w:lvlJc w:val="left"/>
      <w:pPr>
        <w:ind w:left="1401" w:hanging="420"/>
      </w:pPr>
    </w:lvl>
    <w:lvl w:ilvl="2" w:tentative="0">
      <w:start w:val="1"/>
      <w:numFmt w:val="lowerRoman"/>
      <w:lvlText w:val="%3."/>
      <w:lvlJc w:val="right"/>
      <w:pPr>
        <w:ind w:left="1821" w:hanging="420"/>
      </w:pPr>
    </w:lvl>
    <w:lvl w:ilvl="3" w:tentative="0">
      <w:start w:val="1"/>
      <w:numFmt w:val="decimal"/>
      <w:lvlText w:val="%4."/>
      <w:lvlJc w:val="left"/>
      <w:pPr>
        <w:ind w:left="2241" w:hanging="420"/>
      </w:pPr>
    </w:lvl>
    <w:lvl w:ilvl="4" w:tentative="0">
      <w:start w:val="1"/>
      <w:numFmt w:val="lowerLetter"/>
      <w:lvlText w:val="%5)"/>
      <w:lvlJc w:val="left"/>
      <w:pPr>
        <w:ind w:left="2661" w:hanging="420"/>
      </w:pPr>
    </w:lvl>
    <w:lvl w:ilvl="5" w:tentative="0">
      <w:start w:val="1"/>
      <w:numFmt w:val="lowerRoman"/>
      <w:lvlText w:val="%6."/>
      <w:lvlJc w:val="right"/>
      <w:pPr>
        <w:ind w:left="3081" w:hanging="420"/>
      </w:pPr>
    </w:lvl>
    <w:lvl w:ilvl="6" w:tentative="0">
      <w:start w:val="1"/>
      <w:numFmt w:val="decimal"/>
      <w:lvlText w:val="%7."/>
      <w:lvlJc w:val="left"/>
      <w:pPr>
        <w:ind w:left="3501" w:hanging="420"/>
      </w:pPr>
    </w:lvl>
    <w:lvl w:ilvl="7" w:tentative="0">
      <w:start w:val="1"/>
      <w:numFmt w:val="lowerLetter"/>
      <w:lvlText w:val="%8)"/>
      <w:lvlJc w:val="left"/>
      <w:pPr>
        <w:ind w:left="3921" w:hanging="420"/>
      </w:pPr>
    </w:lvl>
    <w:lvl w:ilvl="8" w:tentative="0">
      <w:start w:val="1"/>
      <w:numFmt w:val="lowerRoman"/>
      <w:lvlText w:val="%9."/>
      <w:lvlJc w:val="right"/>
      <w:pPr>
        <w:ind w:left="4341" w:hanging="420"/>
      </w:pPr>
    </w:lvl>
  </w:abstractNum>
  <w:abstractNum w:abstractNumId="3">
    <w:nsid w:val="4A7B0B2C"/>
    <w:multiLevelType w:val="multilevel"/>
    <w:tmpl w:val="4A7B0B2C"/>
    <w:lvl w:ilvl="0" w:tentative="0">
      <w:start w:val="1"/>
      <w:numFmt w:val="japaneseCounting"/>
      <w:lvlText w:val="（%1）"/>
      <w:lvlJc w:val="left"/>
      <w:pPr>
        <w:ind w:left="1416" w:hanging="855"/>
      </w:pPr>
      <w:rPr>
        <w:rFonts w:hint="default"/>
      </w:rPr>
    </w:lvl>
    <w:lvl w:ilvl="1" w:tentative="0">
      <w:start w:val="1"/>
      <w:numFmt w:val="lowerLetter"/>
      <w:lvlText w:val="%2)"/>
      <w:lvlJc w:val="left"/>
      <w:pPr>
        <w:ind w:left="1401" w:hanging="420"/>
      </w:pPr>
    </w:lvl>
    <w:lvl w:ilvl="2" w:tentative="0">
      <w:start w:val="1"/>
      <w:numFmt w:val="lowerRoman"/>
      <w:lvlText w:val="%3."/>
      <w:lvlJc w:val="right"/>
      <w:pPr>
        <w:ind w:left="1821" w:hanging="420"/>
      </w:pPr>
    </w:lvl>
    <w:lvl w:ilvl="3" w:tentative="0">
      <w:start w:val="1"/>
      <w:numFmt w:val="decimal"/>
      <w:lvlText w:val="%4."/>
      <w:lvlJc w:val="left"/>
      <w:pPr>
        <w:ind w:left="2241" w:hanging="420"/>
      </w:pPr>
    </w:lvl>
    <w:lvl w:ilvl="4" w:tentative="0">
      <w:start w:val="1"/>
      <w:numFmt w:val="lowerLetter"/>
      <w:lvlText w:val="%5)"/>
      <w:lvlJc w:val="left"/>
      <w:pPr>
        <w:ind w:left="2661" w:hanging="420"/>
      </w:pPr>
    </w:lvl>
    <w:lvl w:ilvl="5" w:tentative="0">
      <w:start w:val="1"/>
      <w:numFmt w:val="lowerRoman"/>
      <w:lvlText w:val="%6."/>
      <w:lvlJc w:val="right"/>
      <w:pPr>
        <w:ind w:left="3081" w:hanging="420"/>
      </w:pPr>
    </w:lvl>
    <w:lvl w:ilvl="6" w:tentative="0">
      <w:start w:val="1"/>
      <w:numFmt w:val="decimal"/>
      <w:lvlText w:val="%7."/>
      <w:lvlJc w:val="left"/>
      <w:pPr>
        <w:ind w:left="3501" w:hanging="420"/>
      </w:pPr>
    </w:lvl>
    <w:lvl w:ilvl="7" w:tentative="0">
      <w:start w:val="1"/>
      <w:numFmt w:val="lowerLetter"/>
      <w:lvlText w:val="%8)"/>
      <w:lvlJc w:val="left"/>
      <w:pPr>
        <w:ind w:left="3921" w:hanging="420"/>
      </w:pPr>
    </w:lvl>
    <w:lvl w:ilvl="8" w:tentative="0">
      <w:start w:val="1"/>
      <w:numFmt w:val="lowerRoman"/>
      <w:lvlText w:val="%9."/>
      <w:lvlJc w:val="right"/>
      <w:pPr>
        <w:ind w:left="4341" w:hanging="420"/>
      </w:pPr>
    </w:lvl>
  </w:abstractNum>
  <w:abstractNum w:abstractNumId="4">
    <w:nsid w:val="5E0D5708"/>
    <w:multiLevelType w:val="multilevel"/>
    <w:tmpl w:val="5E0D5708"/>
    <w:lvl w:ilvl="0" w:tentative="0">
      <w:start w:val="1"/>
      <w:numFmt w:val="japaneseCounting"/>
      <w:lvlText w:val="（%1）"/>
      <w:lvlJc w:val="left"/>
      <w:pPr>
        <w:ind w:left="1410" w:hanging="855"/>
      </w:pPr>
      <w:rPr>
        <w:rFonts w:hint="default"/>
      </w:rPr>
    </w:lvl>
    <w:lvl w:ilvl="1" w:tentative="0">
      <w:start w:val="1"/>
      <w:numFmt w:val="lowerLetter"/>
      <w:lvlText w:val="%2)"/>
      <w:lvlJc w:val="left"/>
      <w:pPr>
        <w:ind w:left="1395" w:hanging="420"/>
      </w:pPr>
    </w:lvl>
    <w:lvl w:ilvl="2" w:tentative="0">
      <w:start w:val="1"/>
      <w:numFmt w:val="lowerRoman"/>
      <w:lvlText w:val="%3."/>
      <w:lvlJc w:val="right"/>
      <w:pPr>
        <w:ind w:left="1815" w:hanging="420"/>
      </w:pPr>
    </w:lvl>
    <w:lvl w:ilvl="3" w:tentative="0">
      <w:start w:val="1"/>
      <w:numFmt w:val="decimal"/>
      <w:lvlText w:val="%4."/>
      <w:lvlJc w:val="left"/>
      <w:pPr>
        <w:ind w:left="2235" w:hanging="420"/>
      </w:pPr>
    </w:lvl>
    <w:lvl w:ilvl="4" w:tentative="0">
      <w:start w:val="1"/>
      <w:numFmt w:val="lowerLetter"/>
      <w:lvlText w:val="%5)"/>
      <w:lvlJc w:val="left"/>
      <w:pPr>
        <w:ind w:left="2655" w:hanging="420"/>
      </w:pPr>
    </w:lvl>
    <w:lvl w:ilvl="5" w:tentative="0">
      <w:start w:val="1"/>
      <w:numFmt w:val="lowerRoman"/>
      <w:lvlText w:val="%6."/>
      <w:lvlJc w:val="right"/>
      <w:pPr>
        <w:ind w:left="3075" w:hanging="420"/>
      </w:pPr>
    </w:lvl>
    <w:lvl w:ilvl="6" w:tentative="0">
      <w:start w:val="1"/>
      <w:numFmt w:val="decimal"/>
      <w:lvlText w:val="%7."/>
      <w:lvlJc w:val="left"/>
      <w:pPr>
        <w:ind w:left="3495" w:hanging="420"/>
      </w:pPr>
    </w:lvl>
    <w:lvl w:ilvl="7" w:tentative="0">
      <w:start w:val="1"/>
      <w:numFmt w:val="lowerLetter"/>
      <w:lvlText w:val="%8)"/>
      <w:lvlJc w:val="left"/>
      <w:pPr>
        <w:ind w:left="3915" w:hanging="420"/>
      </w:pPr>
    </w:lvl>
    <w:lvl w:ilvl="8" w:tentative="0">
      <w:start w:val="1"/>
      <w:numFmt w:val="lowerRoman"/>
      <w:lvlText w:val="%9."/>
      <w:lvlJc w:val="right"/>
      <w:pPr>
        <w:ind w:left="4335" w:hanging="420"/>
      </w:pPr>
    </w:lvl>
  </w:abstractNum>
  <w:abstractNum w:abstractNumId="5">
    <w:nsid w:val="66BACB99"/>
    <w:multiLevelType w:val="singleLevel"/>
    <w:tmpl w:val="66BACB99"/>
    <w:lvl w:ilvl="0" w:tentative="0">
      <w:start w:val="3"/>
      <w:numFmt w:val="chineseCounting"/>
      <w:suff w:val="nothing"/>
      <w:lvlText w:val="（%1）"/>
      <w:lvlJc w:val="left"/>
    </w:lvl>
  </w:abstractNum>
  <w:abstractNum w:abstractNumId="6">
    <w:nsid w:val="66BAD06E"/>
    <w:multiLevelType w:val="singleLevel"/>
    <w:tmpl w:val="66BAD06E"/>
    <w:lvl w:ilvl="0" w:tentative="0">
      <w:start w:val="3"/>
      <w:numFmt w:val="chineseCounting"/>
      <w:suff w:val="nothing"/>
      <w:lvlText w:val="%1、"/>
      <w:lvlJc w:val="left"/>
    </w:lvl>
  </w:abstractNum>
  <w:abstractNum w:abstractNumId="7">
    <w:nsid w:val="670C7F12"/>
    <w:multiLevelType w:val="singleLevel"/>
    <w:tmpl w:val="670C7F12"/>
    <w:lvl w:ilvl="0" w:tentative="0">
      <w:start w:val="9"/>
      <w:numFmt w:val="chineseCounting"/>
      <w:suff w:val="nothing"/>
      <w:lvlText w:val="%1、"/>
      <w:lvlJc w:val="left"/>
    </w:lvl>
  </w:abstractNum>
  <w:num w:numId="1">
    <w:abstractNumId w:val="2"/>
  </w:num>
  <w:num w:numId="2">
    <w:abstractNumId w:val="4"/>
  </w:num>
  <w:num w:numId="3">
    <w:abstractNumId w:val="0"/>
  </w:num>
  <w:num w:numId="4">
    <w:abstractNumId w:val="5"/>
  </w:num>
  <w:num w:numId="5">
    <w:abstractNumId w:val="6"/>
  </w:num>
  <w:num w:numId="6">
    <w:abstractNumId w:val="3"/>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embedTrueTypeFonts/>
  <w:saveSubsetFonts/>
  <w:mirrorMargins w:val="1"/>
  <w:documentProtection w:enforcement="0"/>
  <w:defaultTabStop w:val="420"/>
  <w:drawingGridHorizontalSpacing w:val="105"/>
  <w:drawingGridVerticalSpacing w:val="143"/>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zMjhmNDFhZWFmM2UxNDI4YjgwNmRkNzc1YWUyNTEifQ=="/>
  </w:docVars>
  <w:rsids>
    <w:rsidRoot w:val="00BA388F"/>
    <w:rsid w:val="000A6F9B"/>
    <w:rsid w:val="000D7D04"/>
    <w:rsid w:val="000E5D5B"/>
    <w:rsid w:val="001169BB"/>
    <w:rsid w:val="00120FB1"/>
    <w:rsid w:val="001947FB"/>
    <w:rsid w:val="001E1260"/>
    <w:rsid w:val="0020311B"/>
    <w:rsid w:val="0026196B"/>
    <w:rsid w:val="00285856"/>
    <w:rsid w:val="003158C4"/>
    <w:rsid w:val="0032084B"/>
    <w:rsid w:val="0036557C"/>
    <w:rsid w:val="00390C58"/>
    <w:rsid w:val="003A1CA3"/>
    <w:rsid w:val="003A2138"/>
    <w:rsid w:val="003C05FD"/>
    <w:rsid w:val="003C5D35"/>
    <w:rsid w:val="003D5CBD"/>
    <w:rsid w:val="004247A3"/>
    <w:rsid w:val="00452809"/>
    <w:rsid w:val="004A6598"/>
    <w:rsid w:val="004B2294"/>
    <w:rsid w:val="004C436E"/>
    <w:rsid w:val="004D22F2"/>
    <w:rsid w:val="005515B1"/>
    <w:rsid w:val="00562419"/>
    <w:rsid w:val="00563B4B"/>
    <w:rsid w:val="005F12B3"/>
    <w:rsid w:val="0060343B"/>
    <w:rsid w:val="0067242E"/>
    <w:rsid w:val="006A2FE5"/>
    <w:rsid w:val="006D4455"/>
    <w:rsid w:val="00701A76"/>
    <w:rsid w:val="00742697"/>
    <w:rsid w:val="00797545"/>
    <w:rsid w:val="008167FA"/>
    <w:rsid w:val="0084734A"/>
    <w:rsid w:val="00865E9D"/>
    <w:rsid w:val="008C361E"/>
    <w:rsid w:val="008D516C"/>
    <w:rsid w:val="00933EDF"/>
    <w:rsid w:val="00943487"/>
    <w:rsid w:val="00982C58"/>
    <w:rsid w:val="00985FBF"/>
    <w:rsid w:val="009913FF"/>
    <w:rsid w:val="009A5FA3"/>
    <w:rsid w:val="00A32E82"/>
    <w:rsid w:val="00A46926"/>
    <w:rsid w:val="00A618D3"/>
    <w:rsid w:val="00A91ECA"/>
    <w:rsid w:val="00AE6E26"/>
    <w:rsid w:val="00B02002"/>
    <w:rsid w:val="00B26819"/>
    <w:rsid w:val="00B57277"/>
    <w:rsid w:val="00B67642"/>
    <w:rsid w:val="00BA388F"/>
    <w:rsid w:val="00BB06D9"/>
    <w:rsid w:val="00BD3E75"/>
    <w:rsid w:val="00C46509"/>
    <w:rsid w:val="00CE3050"/>
    <w:rsid w:val="00D45422"/>
    <w:rsid w:val="00D6060F"/>
    <w:rsid w:val="00D65378"/>
    <w:rsid w:val="00D9046E"/>
    <w:rsid w:val="00DB5FC6"/>
    <w:rsid w:val="00DE007B"/>
    <w:rsid w:val="00E35441"/>
    <w:rsid w:val="00E4762D"/>
    <w:rsid w:val="00E817A8"/>
    <w:rsid w:val="00EA3B2C"/>
    <w:rsid w:val="00EC44CC"/>
    <w:rsid w:val="00ED71D5"/>
    <w:rsid w:val="00F01216"/>
    <w:rsid w:val="00F17223"/>
    <w:rsid w:val="00F638B9"/>
    <w:rsid w:val="00F7410A"/>
    <w:rsid w:val="00F82704"/>
    <w:rsid w:val="00F9520D"/>
    <w:rsid w:val="00FE388D"/>
    <w:rsid w:val="00FE7C5D"/>
    <w:rsid w:val="023C4E17"/>
    <w:rsid w:val="02530D9A"/>
    <w:rsid w:val="02D25523"/>
    <w:rsid w:val="02E828A9"/>
    <w:rsid w:val="0367073C"/>
    <w:rsid w:val="03D16D2F"/>
    <w:rsid w:val="043C2F64"/>
    <w:rsid w:val="050F6813"/>
    <w:rsid w:val="05BE1F0E"/>
    <w:rsid w:val="07724E37"/>
    <w:rsid w:val="07FF2CEA"/>
    <w:rsid w:val="098A1E34"/>
    <w:rsid w:val="098F1CD1"/>
    <w:rsid w:val="09AA1E93"/>
    <w:rsid w:val="09AF4121"/>
    <w:rsid w:val="09F45772"/>
    <w:rsid w:val="0AB9081E"/>
    <w:rsid w:val="0B3E30E3"/>
    <w:rsid w:val="0BAB69EC"/>
    <w:rsid w:val="0BB51797"/>
    <w:rsid w:val="0C7F5CF6"/>
    <w:rsid w:val="0D165D5B"/>
    <w:rsid w:val="0D69454D"/>
    <w:rsid w:val="0DB67743"/>
    <w:rsid w:val="0E8F45F1"/>
    <w:rsid w:val="0E9C29C4"/>
    <w:rsid w:val="0ED07A15"/>
    <w:rsid w:val="0EE7435D"/>
    <w:rsid w:val="0F1171E8"/>
    <w:rsid w:val="0F7721AE"/>
    <w:rsid w:val="0FAE6AEF"/>
    <w:rsid w:val="114F7F97"/>
    <w:rsid w:val="116F1F4D"/>
    <w:rsid w:val="12D404AF"/>
    <w:rsid w:val="1309283E"/>
    <w:rsid w:val="13930C17"/>
    <w:rsid w:val="14E528C6"/>
    <w:rsid w:val="15001CD4"/>
    <w:rsid w:val="157D1577"/>
    <w:rsid w:val="15AD63FF"/>
    <w:rsid w:val="15E147E2"/>
    <w:rsid w:val="16581E57"/>
    <w:rsid w:val="169A58F2"/>
    <w:rsid w:val="16CA4622"/>
    <w:rsid w:val="16EB646C"/>
    <w:rsid w:val="17C90CEC"/>
    <w:rsid w:val="1875501B"/>
    <w:rsid w:val="194B45AF"/>
    <w:rsid w:val="19602F5F"/>
    <w:rsid w:val="19F725E0"/>
    <w:rsid w:val="1A087CE3"/>
    <w:rsid w:val="1A173735"/>
    <w:rsid w:val="1A325A0A"/>
    <w:rsid w:val="1B0A4F10"/>
    <w:rsid w:val="1B2C41DA"/>
    <w:rsid w:val="1BA70298"/>
    <w:rsid w:val="1C797F54"/>
    <w:rsid w:val="1C9536BB"/>
    <w:rsid w:val="1D621633"/>
    <w:rsid w:val="1F901EA7"/>
    <w:rsid w:val="22555FBA"/>
    <w:rsid w:val="22D57E3D"/>
    <w:rsid w:val="231A0405"/>
    <w:rsid w:val="23724EE1"/>
    <w:rsid w:val="23AD1AA4"/>
    <w:rsid w:val="23B62AFB"/>
    <w:rsid w:val="2401226D"/>
    <w:rsid w:val="24676FA4"/>
    <w:rsid w:val="248E4594"/>
    <w:rsid w:val="24A1217A"/>
    <w:rsid w:val="25AE1B15"/>
    <w:rsid w:val="25EA6912"/>
    <w:rsid w:val="26F3778A"/>
    <w:rsid w:val="27261670"/>
    <w:rsid w:val="28C27611"/>
    <w:rsid w:val="297B2697"/>
    <w:rsid w:val="2996540B"/>
    <w:rsid w:val="29A34FFB"/>
    <w:rsid w:val="29FA0F90"/>
    <w:rsid w:val="2A0A2A62"/>
    <w:rsid w:val="2A1301EA"/>
    <w:rsid w:val="2A22089E"/>
    <w:rsid w:val="2A3750F1"/>
    <w:rsid w:val="2A834982"/>
    <w:rsid w:val="2AFA0891"/>
    <w:rsid w:val="2B2B4735"/>
    <w:rsid w:val="2B973D49"/>
    <w:rsid w:val="2C6B1CD2"/>
    <w:rsid w:val="2D3A44A6"/>
    <w:rsid w:val="2DD97E31"/>
    <w:rsid w:val="2E8D23D3"/>
    <w:rsid w:val="2F582E2B"/>
    <w:rsid w:val="2FC02334"/>
    <w:rsid w:val="30751371"/>
    <w:rsid w:val="308C70F2"/>
    <w:rsid w:val="315658FD"/>
    <w:rsid w:val="318D794D"/>
    <w:rsid w:val="325B46A4"/>
    <w:rsid w:val="32925116"/>
    <w:rsid w:val="3400062C"/>
    <w:rsid w:val="343348D9"/>
    <w:rsid w:val="34B03B9A"/>
    <w:rsid w:val="366028A2"/>
    <w:rsid w:val="371D121A"/>
    <w:rsid w:val="372F4B35"/>
    <w:rsid w:val="37E8373D"/>
    <w:rsid w:val="37F45D0E"/>
    <w:rsid w:val="38517A5C"/>
    <w:rsid w:val="38B43BD1"/>
    <w:rsid w:val="39620A60"/>
    <w:rsid w:val="39A31D91"/>
    <w:rsid w:val="3A145757"/>
    <w:rsid w:val="3A225DC7"/>
    <w:rsid w:val="3A654B96"/>
    <w:rsid w:val="3AA0106E"/>
    <w:rsid w:val="3B933C2B"/>
    <w:rsid w:val="3BB646F1"/>
    <w:rsid w:val="3BDC0797"/>
    <w:rsid w:val="3C5000BD"/>
    <w:rsid w:val="3C8467F1"/>
    <w:rsid w:val="3C9012E0"/>
    <w:rsid w:val="3C9C5ED7"/>
    <w:rsid w:val="3CD90C49"/>
    <w:rsid w:val="3CED5DE1"/>
    <w:rsid w:val="3CF67395"/>
    <w:rsid w:val="3F646003"/>
    <w:rsid w:val="3FAD7BDB"/>
    <w:rsid w:val="401D10DD"/>
    <w:rsid w:val="402476A6"/>
    <w:rsid w:val="40886FB2"/>
    <w:rsid w:val="40B93E22"/>
    <w:rsid w:val="40C335CB"/>
    <w:rsid w:val="40D41DE6"/>
    <w:rsid w:val="41B93BD0"/>
    <w:rsid w:val="42206C63"/>
    <w:rsid w:val="426E5C20"/>
    <w:rsid w:val="42870A90"/>
    <w:rsid w:val="42EA24B1"/>
    <w:rsid w:val="43721740"/>
    <w:rsid w:val="444929F9"/>
    <w:rsid w:val="446E5977"/>
    <w:rsid w:val="463F3CCC"/>
    <w:rsid w:val="4694032E"/>
    <w:rsid w:val="46FE1B87"/>
    <w:rsid w:val="46FE25C6"/>
    <w:rsid w:val="477041E8"/>
    <w:rsid w:val="478A257A"/>
    <w:rsid w:val="4794588B"/>
    <w:rsid w:val="490966BF"/>
    <w:rsid w:val="49911A48"/>
    <w:rsid w:val="49AF5594"/>
    <w:rsid w:val="49E50A10"/>
    <w:rsid w:val="4A0A3D88"/>
    <w:rsid w:val="4A3D337F"/>
    <w:rsid w:val="4A446121"/>
    <w:rsid w:val="4A9A2A83"/>
    <w:rsid w:val="4AFC63CD"/>
    <w:rsid w:val="4B850C7C"/>
    <w:rsid w:val="4BA50A65"/>
    <w:rsid w:val="4BC97B99"/>
    <w:rsid w:val="4BE17479"/>
    <w:rsid w:val="4C2537F3"/>
    <w:rsid w:val="4C73622A"/>
    <w:rsid w:val="4D5870C2"/>
    <w:rsid w:val="4DBB0491"/>
    <w:rsid w:val="4E1E75F1"/>
    <w:rsid w:val="4EAB0D22"/>
    <w:rsid w:val="4EEF00E8"/>
    <w:rsid w:val="50C203F6"/>
    <w:rsid w:val="50E52447"/>
    <w:rsid w:val="50EC0596"/>
    <w:rsid w:val="51174E45"/>
    <w:rsid w:val="51DB3C59"/>
    <w:rsid w:val="51DE740B"/>
    <w:rsid w:val="524F2BBC"/>
    <w:rsid w:val="537D191E"/>
    <w:rsid w:val="547A48F8"/>
    <w:rsid w:val="552411B0"/>
    <w:rsid w:val="55366A71"/>
    <w:rsid w:val="56ED52AB"/>
    <w:rsid w:val="574E783E"/>
    <w:rsid w:val="577D2735"/>
    <w:rsid w:val="5817739B"/>
    <w:rsid w:val="58ED4387"/>
    <w:rsid w:val="59197681"/>
    <w:rsid w:val="59537F28"/>
    <w:rsid w:val="59C978D8"/>
    <w:rsid w:val="5B61236E"/>
    <w:rsid w:val="5E0A243F"/>
    <w:rsid w:val="5E33692E"/>
    <w:rsid w:val="60141E68"/>
    <w:rsid w:val="619E04DC"/>
    <w:rsid w:val="62CE02E9"/>
    <w:rsid w:val="63C94F54"/>
    <w:rsid w:val="645A0D31"/>
    <w:rsid w:val="66743282"/>
    <w:rsid w:val="6769437E"/>
    <w:rsid w:val="69A67E59"/>
    <w:rsid w:val="69D44217"/>
    <w:rsid w:val="6AD40467"/>
    <w:rsid w:val="6ADC6FD1"/>
    <w:rsid w:val="6AEB57B0"/>
    <w:rsid w:val="6B2F7D70"/>
    <w:rsid w:val="6BD4750E"/>
    <w:rsid w:val="6C1D0633"/>
    <w:rsid w:val="6CBF2488"/>
    <w:rsid w:val="6D0D5EB2"/>
    <w:rsid w:val="6F517D15"/>
    <w:rsid w:val="6F54601A"/>
    <w:rsid w:val="717E068F"/>
    <w:rsid w:val="71B326DB"/>
    <w:rsid w:val="722A3062"/>
    <w:rsid w:val="7238752D"/>
    <w:rsid w:val="72AB7677"/>
    <w:rsid w:val="74E27C24"/>
    <w:rsid w:val="75B178CF"/>
    <w:rsid w:val="75C4096E"/>
    <w:rsid w:val="75D42DC5"/>
    <w:rsid w:val="760B6AEA"/>
    <w:rsid w:val="761C2FAA"/>
    <w:rsid w:val="765035EE"/>
    <w:rsid w:val="767D522A"/>
    <w:rsid w:val="786356C5"/>
    <w:rsid w:val="794C38BE"/>
    <w:rsid w:val="7A150C8C"/>
    <w:rsid w:val="7A7F6867"/>
    <w:rsid w:val="7ACF0C4A"/>
    <w:rsid w:val="7E9C7BC3"/>
    <w:rsid w:val="7F1C1F84"/>
    <w:rsid w:val="7F5B1A0A"/>
    <w:rsid w:val="7F5E4768"/>
    <w:rsid w:val="7FC264B5"/>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unhideWhenUsed/>
    <w:qFormat/>
    <w:uiPriority w:val="1"/>
  </w:style>
  <w:style w:type="table" w:default="1" w:styleId="12">
    <w:name w:val="Normal Table"/>
    <w:unhideWhenUsed/>
    <w:uiPriority w:val="99"/>
    <w:tblPr>
      <w:tblLayout w:type="fixed"/>
      <w:tblCellMar>
        <w:top w:w="0" w:type="dxa"/>
        <w:left w:w="108" w:type="dxa"/>
        <w:bottom w:w="0" w:type="dxa"/>
        <w:right w:w="108" w:type="dxa"/>
      </w:tblCellMar>
    </w:tblPr>
  </w:style>
  <w:style w:type="paragraph" w:styleId="2">
    <w:name w:val="annotation subject"/>
    <w:basedOn w:val="3"/>
    <w:next w:val="3"/>
    <w:link w:val="21"/>
    <w:unhideWhenUsed/>
    <w:qFormat/>
    <w:uiPriority w:val="0"/>
    <w:rPr>
      <w:b/>
      <w:bCs/>
    </w:rPr>
  </w:style>
  <w:style w:type="paragraph" w:styleId="3">
    <w:name w:val="annotation text"/>
    <w:basedOn w:val="1"/>
    <w:link w:val="20"/>
    <w:unhideWhenUsed/>
    <w:qFormat/>
    <w:uiPriority w:val="0"/>
    <w:pPr>
      <w:jc w:val="left"/>
    </w:pPr>
  </w:style>
  <w:style w:type="paragraph" w:styleId="4">
    <w:name w:val="Body Text"/>
    <w:basedOn w:val="1"/>
    <w:qFormat/>
    <w:uiPriority w:val="0"/>
    <w:pPr>
      <w:spacing w:line="400" w:lineRule="exact"/>
    </w:pPr>
    <w:rPr>
      <w:sz w:val="24"/>
    </w:rPr>
  </w:style>
  <w:style w:type="paragraph" w:styleId="5">
    <w:name w:val="Body Text Indent"/>
    <w:basedOn w:val="1"/>
    <w:qFormat/>
    <w:uiPriority w:val="0"/>
    <w:pPr>
      <w:spacing w:line="480" w:lineRule="exact"/>
      <w:ind w:left="480" w:hanging="480" w:hangingChars="200"/>
    </w:pPr>
    <w:rPr>
      <w:sz w:val="24"/>
    </w:rPr>
  </w:style>
  <w:style w:type="paragraph" w:styleId="6">
    <w:name w:val="Balloon Text"/>
    <w:basedOn w:val="1"/>
    <w:semiHidden/>
    <w:qFormat/>
    <w:uiPriority w:val="0"/>
    <w:rPr>
      <w:sz w:val="18"/>
      <w:szCs w:val="18"/>
    </w:rPr>
  </w:style>
  <w:style w:type="paragraph" w:styleId="7">
    <w:name w:val="footer"/>
    <w:basedOn w:val="1"/>
    <w:link w:val="15"/>
    <w:qFormat/>
    <w:uiPriority w:val="0"/>
    <w:pPr>
      <w:tabs>
        <w:tab w:val="center" w:pos="4153"/>
        <w:tab w:val="right" w:pos="8306"/>
      </w:tabs>
      <w:snapToGrid w:val="0"/>
      <w:jc w:val="left"/>
    </w:pPr>
    <w:rPr>
      <w:sz w:val="18"/>
      <w:szCs w:val="18"/>
    </w:rPr>
  </w:style>
  <w:style w:type="paragraph" w:styleId="8">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9">
    <w:name w:val="Body Text 2"/>
    <w:basedOn w:val="1"/>
    <w:qFormat/>
    <w:uiPriority w:val="0"/>
    <w:pPr>
      <w:spacing w:line="480" w:lineRule="exact"/>
    </w:pPr>
    <w:rPr>
      <w:sz w:val="28"/>
    </w:rPr>
  </w:style>
  <w:style w:type="character" w:styleId="11">
    <w:name w:val="annotation reference"/>
    <w:basedOn w:val="10"/>
    <w:unhideWhenUsed/>
    <w:qFormat/>
    <w:uiPriority w:val="0"/>
    <w:rPr>
      <w:sz w:val="21"/>
      <w:szCs w:val="21"/>
    </w:rPr>
  </w:style>
  <w:style w:type="table" w:styleId="13">
    <w:name w:val="Table Grid"/>
    <w:basedOn w:val="12"/>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页眉 Char"/>
    <w:basedOn w:val="10"/>
    <w:link w:val="8"/>
    <w:qFormat/>
    <w:uiPriority w:val="0"/>
    <w:rPr>
      <w:kern w:val="2"/>
      <w:sz w:val="18"/>
      <w:szCs w:val="18"/>
    </w:rPr>
  </w:style>
  <w:style w:type="character" w:customStyle="1" w:styleId="15">
    <w:name w:val="页脚 Char"/>
    <w:basedOn w:val="10"/>
    <w:link w:val="7"/>
    <w:qFormat/>
    <w:uiPriority w:val="0"/>
    <w:rPr>
      <w:kern w:val="2"/>
      <w:sz w:val="18"/>
      <w:szCs w:val="18"/>
    </w:rPr>
  </w:style>
  <w:style w:type="paragraph" w:customStyle="1" w:styleId="16">
    <w:name w:val="列出段落1"/>
    <w:basedOn w:val="1"/>
    <w:qFormat/>
    <w:uiPriority w:val="34"/>
    <w:pPr>
      <w:ind w:firstLine="420" w:firstLineChars="200"/>
    </w:pPr>
  </w:style>
  <w:style w:type="paragraph" w:customStyle="1" w:styleId="17">
    <w:name w:val="Default"/>
    <w:unhideWhenUsed/>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paragraph" w:customStyle="1" w:styleId="18">
    <w:name w:val="章标题"/>
    <w:next w:val="1"/>
    <w:unhideWhenUsed/>
    <w:qFormat/>
    <w:uiPriority w:val="0"/>
    <w:pPr>
      <w:spacing w:beforeLines="100" w:afterLines="100"/>
      <w:ind w:left="710"/>
      <w:jc w:val="both"/>
      <w:outlineLvl w:val="1"/>
    </w:pPr>
    <w:rPr>
      <w:rFonts w:ascii="黑体" w:hAnsi="Times New Roman" w:eastAsia="黑体" w:cs="黑体"/>
      <w:sz w:val="21"/>
      <w:szCs w:val="21"/>
      <w:lang w:val="en-US" w:eastAsia="zh-CN" w:bidi="ar-SA"/>
    </w:rPr>
  </w:style>
  <w:style w:type="paragraph" w:customStyle="1" w:styleId="19">
    <w:name w:val="标准文件_段"/>
    <w:unhideWhenUsed/>
    <w:qFormat/>
    <w:uiPriority w:val="0"/>
    <w:pPr>
      <w:autoSpaceDE w:val="0"/>
      <w:autoSpaceDN w:val="0"/>
      <w:ind w:firstLine="200" w:firstLineChars="200"/>
      <w:jc w:val="both"/>
    </w:pPr>
    <w:rPr>
      <w:rFonts w:ascii="宋体" w:cs="宋体" w:hAnsiTheme="minorHAnsi" w:eastAsiaTheme="minorEastAsia"/>
      <w:kern w:val="2"/>
      <w:lang w:val="en-US" w:eastAsia="zh-CN" w:bidi="ar-SA"/>
    </w:rPr>
  </w:style>
  <w:style w:type="character" w:customStyle="1" w:styleId="20">
    <w:name w:val="批注文字 Char"/>
    <w:basedOn w:val="10"/>
    <w:link w:val="3"/>
    <w:semiHidden/>
    <w:qFormat/>
    <w:uiPriority w:val="0"/>
    <w:rPr>
      <w:kern w:val="2"/>
      <w:sz w:val="21"/>
      <w:szCs w:val="24"/>
    </w:rPr>
  </w:style>
  <w:style w:type="character" w:customStyle="1" w:styleId="21">
    <w:name w:val="批注主题 Char"/>
    <w:basedOn w:val="20"/>
    <w:link w:val="2"/>
    <w:semiHidden/>
    <w:qFormat/>
    <w:uiPriority w:val="0"/>
    <w:rPr>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3478</Words>
  <Characters>3636</Characters>
  <Lines>27</Lines>
  <Paragraphs>7</Paragraphs>
  <TotalTime>0</TotalTime>
  <ScaleCrop>false</ScaleCrop>
  <LinksUpToDate>false</LinksUpToDate>
  <CharactersWithSpaces>3705</CharactersWithSpaces>
  <Application>WPS Office_10.8.0.5800_F1E327BC-269C-435d-A152-05C5408002CA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2025-11-03T09:15:00Z</dcterms:created>
  <dc:creator>rcl</dc:creator>
  <cp:lastModifiedBy>李旗</cp:lastModifiedBy>
  <cp:lastPrinted>2023-05-24T08:10:00Z</cp:lastPrinted>
  <dcterms:modified xsi:type="dcterms:W3CDTF">2025-11-06T02:15:15Z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2052-10.8.0.5800</vt:lpwstr>
  </property>
  <property fmtid="{D5CDD505-2E9C-101B-9397-08002B2CF9AE}" pid="3" name="ICV">
    <vt:lpwstr>56E7A49329E64080AAE83CC20D48E600</vt:lpwstr>
  </property>
  <property fmtid="{D5CDD505-2E9C-101B-9397-08002B2CF9AE}" pid="4" name="KSOTemplateDocerSaveRecord">
    <vt:lpwstr>eyJoZGlkIjoiNjA4MWM2NTc1MDcyNTkxNDQxYzdiZGZhZGI5NzkyNmQiLCJ1c2VySWQiOiIxNjc3MzE3Nzg3In0=</vt:lpwstr>
  </property>
</Properties>
</file>